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0D" w:rsidRDefault="00DA7EEA" w:rsidP="000466FC">
      <w:pPr>
        <w:spacing w:line="240" w:lineRule="auto"/>
        <w:contextualSpacing/>
        <w:rPr>
          <w:rFonts w:ascii="Arial" w:hAnsi="Arial" w:cs="Arial"/>
          <w:b/>
          <w:sz w:val="24"/>
          <w:szCs w:val="24"/>
          <w:u w:val="single"/>
        </w:rPr>
      </w:pPr>
      <w:r>
        <w:rPr>
          <w:rFonts w:ascii="Arial" w:hAnsi="Arial" w:cs="Arial"/>
          <w:b/>
          <w:sz w:val="24"/>
          <w:szCs w:val="24"/>
          <w:u w:val="single"/>
        </w:rPr>
        <w:t>RESPONSABILIDAD DEL ESTADO POR OMISIÓN EN SUPUESTOS</w:t>
      </w:r>
      <w:r w:rsidR="00CD673D">
        <w:rPr>
          <w:rFonts w:ascii="Arial" w:hAnsi="Arial" w:cs="Arial"/>
          <w:b/>
          <w:sz w:val="24"/>
          <w:szCs w:val="24"/>
          <w:u w:val="single"/>
        </w:rPr>
        <w:t xml:space="preserve"> DE VIOLENCIA DE GENERO</w:t>
      </w:r>
    </w:p>
    <w:p w:rsidR="00DA7EEA" w:rsidRDefault="00DA7EEA" w:rsidP="00C80EAC">
      <w:pPr>
        <w:spacing w:line="480" w:lineRule="auto"/>
        <w:rPr>
          <w:rFonts w:ascii="Arial" w:hAnsi="Arial" w:cs="Arial"/>
          <w:b/>
          <w:sz w:val="24"/>
          <w:szCs w:val="24"/>
          <w:u w:val="single"/>
        </w:rPr>
      </w:pPr>
    </w:p>
    <w:p w:rsidR="00DA7EEA" w:rsidRDefault="00DA7EEA" w:rsidP="000466FC">
      <w:pPr>
        <w:spacing w:line="480" w:lineRule="auto"/>
        <w:rPr>
          <w:rFonts w:ascii="Arial" w:hAnsi="Arial" w:cs="Arial"/>
          <w:i/>
          <w:sz w:val="24"/>
          <w:szCs w:val="24"/>
        </w:rPr>
      </w:pPr>
      <w:r>
        <w:rPr>
          <w:rFonts w:ascii="Arial" w:hAnsi="Arial" w:cs="Arial"/>
          <w:i/>
          <w:sz w:val="24"/>
          <w:szCs w:val="24"/>
        </w:rPr>
        <w:t>En memoria de María Belén Quiñones</w:t>
      </w:r>
      <w:r w:rsidR="00CA7FB0">
        <w:rPr>
          <w:rFonts w:ascii="Arial" w:hAnsi="Arial" w:cs="Arial"/>
          <w:i/>
          <w:sz w:val="24"/>
          <w:szCs w:val="24"/>
        </w:rPr>
        <w:t xml:space="preserve"> y de la innumerable víctimas de femicidio y abuso. </w:t>
      </w:r>
    </w:p>
    <w:p w:rsidR="00DA7EEA" w:rsidRDefault="00DA7EEA" w:rsidP="00C80EAC">
      <w:pPr>
        <w:spacing w:line="480" w:lineRule="auto"/>
        <w:jc w:val="right"/>
        <w:rPr>
          <w:rFonts w:ascii="Arial" w:hAnsi="Arial" w:cs="Arial"/>
          <w:i/>
          <w:sz w:val="24"/>
          <w:szCs w:val="24"/>
        </w:rPr>
      </w:pPr>
    </w:p>
    <w:p w:rsidR="00DA7EEA" w:rsidRDefault="00C97815" w:rsidP="00C80EAC">
      <w:pPr>
        <w:tabs>
          <w:tab w:val="left" w:pos="1985"/>
        </w:tabs>
        <w:spacing w:line="480" w:lineRule="auto"/>
        <w:rPr>
          <w:rFonts w:ascii="Arial" w:hAnsi="Arial" w:cs="Arial"/>
          <w:b/>
          <w:i/>
          <w:sz w:val="24"/>
          <w:szCs w:val="24"/>
        </w:rPr>
      </w:pPr>
      <w:r w:rsidRPr="00E5619A">
        <w:rPr>
          <w:rFonts w:ascii="Arial" w:hAnsi="Arial" w:cs="Arial"/>
          <w:b/>
          <w:i/>
          <w:sz w:val="24"/>
          <w:szCs w:val="24"/>
        </w:rPr>
        <w:t>TITULO PRELIMINAR</w:t>
      </w:r>
    </w:p>
    <w:p w:rsidR="00A3191F" w:rsidRPr="00A3191F" w:rsidRDefault="00A3191F" w:rsidP="00C80EAC">
      <w:pPr>
        <w:tabs>
          <w:tab w:val="left" w:pos="1985"/>
        </w:tabs>
        <w:spacing w:line="480" w:lineRule="auto"/>
        <w:rPr>
          <w:rFonts w:ascii="Arial" w:hAnsi="Arial" w:cs="Arial"/>
          <w:sz w:val="24"/>
          <w:szCs w:val="24"/>
        </w:rPr>
      </w:pPr>
    </w:p>
    <w:p w:rsidR="00EC439D" w:rsidRDefault="00A3191F" w:rsidP="00C80EAC">
      <w:pPr>
        <w:spacing w:line="480" w:lineRule="auto"/>
        <w:rPr>
          <w:rFonts w:ascii="Arial" w:hAnsi="Arial" w:cs="Arial"/>
          <w:sz w:val="24"/>
          <w:szCs w:val="24"/>
        </w:rPr>
      </w:pPr>
      <w:r w:rsidRPr="00A3191F">
        <w:rPr>
          <w:rFonts w:ascii="Arial" w:hAnsi="Arial" w:cs="Arial"/>
          <w:sz w:val="24"/>
          <w:szCs w:val="24"/>
        </w:rPr>
        <w:t>E</w:t>
      </w:r>
      <w:r w:rsidR="004B2EBE" w:rsidRPr="00A3191F">
        <w:rPr>
          <w:rFonts w:ascii="Arial" w:hAnsi="Arial" w:cs="Arial"/>
          <w:sz w:val="24"/>
          <w:szCs w:val="24"/>
        </w:rPr>
        <w:t>l Estado es una perso</w:t>
      </w:r>
      <w:r>
        <w:rPr>
          <w:rFonts w:ascii="Arial" w:hAnsi="Arial" w:cs="Arial"/>
          <w:sz w:val="24"/>
          <w:szCs w:val="24"/>
        </w:rPr>
        <w:t>na jurídica de derecho público,</w:t>
      </w:r>
      <w:r w:rsidR="00576904">
        <w:rPr>
          <w:rFonts w:ascii="Arial" w:hAnsi="Arial" w:cs="Arial"/>
          <w:sz w:val="24"/>
          <w:szCs w:val="24"/>
        </w:rPr>
        <w:t xml:space="preserve"> y, </w:t>
      </w:r>
      <w:r w:rsidR="00AE4B19">
        <w:rPr>
          <w:rFonts w:ascii="Arial" w:hAnsi="Arial" w:cs="Arial"/>
          <w:sz w:val="24"/>
          <w:szCs w:val="24"/>
        </w:rPr>
        <w:t xml:space="preserve">tal como la concebimos hoy día, </w:t>
      </w:r>
      <w:r w:rsidR="00EC439D">
        <w:rPr>
          <w:rFonts w:ascii="Arial" w:hAnsi="Arial" w:cs="Arial"/>
          <w:sz w:val="24"/>
          <w:szCs w:val="24"/>
        </w:rPr>
        <w:t xml:space="preserve">ya no se </w:t>
      </w:r>
      <w:r w:rsidR="004159B6">
        <w:rPr>
          <w:rFonts w:ascii="Arial" w:hAnsi="Arial" w:cs="Arial"/>
          <w:sz w:val="24"/>
          <w:szCs w:val="24"/>
        </w:rPr>
        <w:t>admiten</w:t>
      </w:r>
      <w:r w:rsidR="00EC439D">
        <w:rPr>
          <w:rFonts w:ascii="Arial" w:hAnsi="Arial" w:cs="Arial"/>
          <w:sz w:val="24"/>
          <w:szCs w:val="24"/>
        </w:rPr>
        <w:t xml:space="preserve"> poderes personales, todo el poder deriva de la Ley. </w:t>
      </w:r>
    </w:p>
    <w:p w:rsidR="00EC439D" w:rsidRDefault="00EC439D" w:rsidP="00C80EAC">
      <w:pPr>
        <w:spacing w:line="480" w:lineRule="auto"/>
        <w:rPr>
          <w:rFonts w:ascii="Arial" w:hAnsi="Arial" w:cs="Arial"/>
          <w:sz w:val="24"/>
          <w:szCs w:val="24"/>
        </w:rPr>
      </w:pPr>
    </w:p>
    <w:p w:rsidR="004C4EB8" w:rsidRDefault="00EC439D" w:rsidP="00C80EAC">
      <w:pPr>
        <w:tabs>
          <w:tab w:val="left" w:pos="1701"/>
        </w:tabs>
        <w:spacing w:line="480" w:lineRule="auto"/>
        <w:rPr>
          <w:rFonts w:ascii="Arial" w:hAnsi="Arial" w:cs="Arial"/>
          <w:sz w:val="24"/>
          <w:szCs w:val="24"/>
        </w:rPr>
      </w:pPr>
      <w:r>
        <w:rPr>
          <w:rFonts w:ascii="Arial" w:hAnsi="Arial" w:cs="Arial"/>
          <w:sz w:val="24"/>
          <w:szCs w:val="24"/>
        </w:rPr>
        <w:tab/>
        <w:t xml:space="preserve">Se trata del principio de legalidad, en virtud del cual solo en nombre la Ley se puede exigir obediencia. </w:t>
      </w:r>
    </w:p>
    <w:p w:rsidR="004C4EB8" w:rsidRDefault="004C4EB8" w:rsidP="00C80EAC">
      <w:pPr>
        <w:tabs>
          <w:tab w:val="left" w:pos="1701"/>
        </w:tabs>
        <w:spacing w:line="480" w:lineRule="auto"/>
        <w:rPr>
          <w:rFonts w:ascii="Arial" w:hAnsi="Arial" w:cs="Arial"/>
          <w:sz w:val="24"/>
          <w:szCs w:val="24"/>
        </w:rPr>
      </w:pPr>
      <w:r>
        <w:rPr>
          <w:rFonts w:ascii="Arial" w:hAnsi="Arial" w:cs="Arial"/>
          <w:sz w:val="24"/>
          <w:szCs w:val="24"/>
        </w:rPr>
        <w:tab/>
      </w:r>
    </w:p>
    <w:p w:rsidR="00EC439D" w:rsidRDefault="004C4EB8" w:rsidP="00C80EAC">
      <w:pPr>
        <w:tabs>
          <w:tab w:val="left" w:pos="1701"/>
        </w:tabs>
        <w:spacing w:line="480" w:lineRule="auto"/>
        <w:rPr>
          <w:rFonts w:ascii="Arial" w:hAnsi="Arial" w:cs="Arial"/>
          <w:sz w:val="24"/>
          <w:szCs w:val="24"/>
        </w:rPr>
      </w:pPr>
      <w:r>
        <w:rPr>
          <w:rFonts w:ascii="Arial" w:hAnsi="Arial" w:cs="Arial"/>
          <w:sz w:val="24"/>
          <w:szCs w:val="24"/>
        </w:rPr>
        <w:tab/>
      </w:r>
      <w:r w:rsidR="00EC439D">
        <w:rPr>
          <w:rFonts w:ascii="Arial" w:hAnsi="Arial" w:cs="Arial"/>
          <w:sz w:val="24"/>
          <w:szCs w:val="24"/>
        </w:rPr>
        <w:t xml:space="preserve">La Ley otorga, y a la vez </w:t>
      </w:r>
      <w:r w:rsidR="00DB4AB3">
        <w:rPr>
          <w:rFonts w:ascii="Arial" w:hAnsi="Arial" w:cs="Arial"/>
          <w:sz w:val="24"/>
          <w:szCs w:val="24"/>
        </w:rPr>
        <w:t>limita</w:t>
      </w:r>
      <w:r w:rsidR="00DB4AB3">
        <w:rPr>
          <w:rStyle w:val="Refdenotaalpie"/>
          <w:rFonts w:ascii="Arial" w:hAnsi="Arial" w:cs="Arial"/>
          <w:sz w:val="24"/>
          <w:szCs w:val="24"/>
        </w:rPr>
        <w:footnoteReference w:id="2"/>
      </w:r>
      <w:r w:rsidR="00EC439D">
        <w:rPr>
          <w:rFonts w:ascii="Arial" w:hAnsi="Arial" w:cs="Arial"/>
          <w:sz w:val="24"/>
          <w:szCs w:val="24"/>
        </w:rPr>
        <w:t xml:space="preserve"> la autoridad de los agentes, que, como tales, son sólo servidores de la Ley</w:t>
      </w:r>
      <w:r>
        <w:rPr>
          <w:rFonts w:ascii="Arial" w:hAnsi="Arial" w:cs="Arial"/>
          <w:sz w:val="24"/>
          <w:szCs w:val="24"/>
        </w:rPr>
        <w:t>.</w:t>
      </w:r>
    </w:p>
    <w:p w:rsidR="004C4EB8" w:rsidRDefault="004C4EB8" w:rsidP="00C80EAC">
      <w:pPr>
        <w:tabs>
          <w:tab w:val="left" w:pos="1701"/>
        </w:tabs>
        <w:spacing w:line="480" w:lineRule="auto"/>
        <w:rPr>
          <w:rFonts w:ascii="Arial" w:hAnsi="Arial" w:cs="Arial"/>
          <w:sz w:val="24"/>
          <w:szCs w:val="24"/>
        </w:rPr>
      </w:pPr>
    </w:p>
    <w:p w:rsidR="004C4EB8" w:rsidRDefault="004C4EB8" w:rsidP="00C80EAC">
      <w:pPr>
        <w:tabs>
          <w:tab w:val="left" w:pos="1701"/>
        </w:tabs>
        <w:spacing w:line="480" w:lineRule="auto"/>
        <w:rPr>
          <w:rFonts w:ascii="Arial" w:hAnsi="Arial" w:cs="Arial"/>
          <w:sz w:val="24"/>
          <w:szCs w:val="24"/>
        </w:rPr>
      </w:pPr>
      <w:r>
        <w:rPr>
          <w:rFonts w:ascii="Arial" w:hAnsi="Arial" w:cs="Arial"/>
          <w:sz w:val="24"/>
          <w:szCs w:val="24"/>
        </w:rPr>
        <w:tab/>
        <w:t>El principio de la libertad, como garantía jurídica, se convierte en el derecho público subjetivo que comienza configurándose como un derecho a oponerse  a la opresión q</w:t>
      </w:r>
      <w:r w:rsidR="001E2A99">
        <w:rPr>
          <w:rFonts w:ascii="Arial" w:hAnsi="Arial" w:cs="Arial"/>
          <w:sz w:val="24"/>
          <w:szCs w:val="24"/>
        </w:rPr>
        <w:t>ue no venga en nombre de la Ley,</w:t>
      </w:r>
      <w:r>
        <w:rPr>
          <w:rFonts w:ascii="Arial" w:hAnsi="Arial" w:cs="Arial"/>
          <w:sz w:val="24"/>
          <w:szCs w:val="24"/>
        </w:rPr>
        <w:t xml:space="preserve"> a </w:t>
      </w:r>
      <w:r w:rsidR="003F38FD">
        <w:rPr>
          <w:rFonts w:ascii="Arial" w:hAnsi="Arial" w:cs="Arial"/>
          <w:sz w:val="24"/>
          <w:szCs w:val="24"/>
        </w:rPr>
        <w:t>resisti</w:t>
      </w:r>
      <w:r>
        <w:rPr>
          <w:rFonts w:ascii="Arial" w:hAnsi="Arial" w:cs="Arial"/>
          <w:sz w:val="24"/>
          <w:szCs w:val="24"/>
        </w:rPr>
        <w:t xml:space="preserve">rse a toda </w:t>
      </w:r>
      <w:r>
        <w:rPr>
          <w:rFonts w:ascii="Arial" w:hAnsi="Arial" w:cs="Arial"/>
          <w:sz w:val="24"/>
          <w:szCs w:val="24"/>
        </w:rPr>
        <w:lastRenderedPageBreak/>
        <w:t>posibilidad de ser afectados en la esfera de los intereses personales</w:t>
      </w:r>
      <w:r w:rsidR="004159B6">
        <w:rPr>
          <w:rFonts w:ascii="Arial" w:hAnsi="Arial" w:cs="Arial"/>
          <w:sz w:val="24"/>
          <w:szCs w:val="24"/>
        </w:rPr>
        <w:t xml:space="preserve">, </w:t>
      </w:r>
      <w:r>
        <w:rPr>
          <w:rFonts w:ascii="Arial" w:hAnsi="Arial" w:cs="Arial"/>
          <w:sz w:val="24"/>
          <w:szCs w:val="24"/>
        </w:rPr>
        <w:t>si no es por disposición expresa de la Ley.</w:t>
      </w:r>
      <w:r>
        <w:rPr>
          <w:rStyle w:val="Refdenotaalpie"/>
          <w:rFonts w:ascii="Arial" w:hAnsi="Arial" w:cs="Arial"/>
          <w:sz w:val="24"/>
          <w:szCs w:val="24"/>
        </w:rPr>
        <w:footnoteReference w:id="3"/>
      </w:r>
    </w:p>
    <w:p w:rsidR="004C4EB8" w:rsidRDefault="004C4EB8" w:rsidP="00C80EAC">
      <w:pPr>
        <w:tabs>
          <w:tab w:val="left" w:pos="1701"/>
        </w:tabs>
        <w:spacing w:line="480" w:lineRule="auto"/>
        <w:rPr>
          <w:rFonts w:ascii="Arial" w:hAnsi="Arial" w:cs="Arial"/>
          <w:sz w:val="24"/>
          <w:szCs w:val="24"/>
        </w:rPr>
      </w:pPr>
    </w:p>
    <w:p w:rsidR="004B2EBE" w:rsidRPr="00A3191F" w:rsidRDefault="005F6A01" w:rsidP="00C80EAC">
      <w:pPr>
        <w:tabs>
          <w:tab w:val="left" w:pos="1701"/>
        </w:tabs>
        <w:spacing w:line="480" w:lineRule="auto"/>
        <w:rPr>
          <w:rFonts w:ascii="Arial" w:hAnsi="Arial" w:cs="Arial"/>
          <w:sz w:val="24"/>
          <w:szCs w:val="24"/>
        </w:rPr>
      </w:pPr>
      <w:r>
        <w:rPr>
          <w:rFonts w:ascii="Arial" w:hAnsi="Arial" w:cs="Arial"/>
          <w:sz w:val="24"/>
          <w:szCs w:val="24"/>
        </w:rPr>
        <w:tab/>
        <w:t>P</w:t>
      </w:r>
      <w:r w:rsidR="00A3191F">
        <w:rPr>
          <w:rFonts w:ascii="Arial" w:hAnsi="Arial" w:cs="Arial"/>
          <w:sz w:val="24"/>
          <w:szCs w:val="24"/>
        </w:rPr>
        <w:t xml:space="preserve">or </w:t>
      </w:r>
      <w:r>
        <w:rPr>
          <w:rFonts w:ascii="Arial" w:hAnsi="Arial" w:cs="Arial"/>
          <w:sz w:val="24"/>
          <w:szCs w:val="24"/>
        </w:rPr>
        <w:t xml:space="preserve">todo </w:t>
      </w:r>
      <w:r w:rsidR="00A3191F">
        <w:rPr>
          <w:rFonts w:ascii="Arial" w:hAnsi="Arial" w:cs="Arial"/>
          <w:sz w:val="24"/>
          <w:szCs w:val="24"/>
        </w:rPr>
        <w:t>ello</w:t>
      </w:r>
      <w:r>
        <w:rPr>
          <w:rFonts w:ascii="Arial" w:hAnsi="Arial" w:cs="Arial"/>
          <w:sz w:val="24"/>
          <w:szCs w:val="24"/>
        </w:rPr>
        <w:t xml:space="preserve"> es que </w:t>
      </w:r>
      <w:r w:rsidR="00A3191F">
        <w:rPr>
          <w:rFonts w:ascii="Arial" w:hAnsi="Arial" w:cs="Arial"/>
          <w:sz w:val="24"/>
          <w:szCs w:val="24"/>
        </w:rPr>
        <w:t>l</w:t>
      </w:r>
      <w:r w:rsidR="004B2EBE" w:rsidRPr="00A3191F">
        <w:rPr>
          <w:rFonts w:ascii="Arial" w:hAnsi="Arial" w:cs="Arial"/>
          <w:sz w:val="24"/>
          <w:szCs w:val="24"/>
        </w:rPr>
        <w:t xml:space="preserve">a principal característica </w:t>
      </w:r>
      <w:r>
        <w:rPr>
          <w:rFonts w:ascii="Arial" w:hAnsi="Arial" w:cs="Arial"/>
          <w:sz w:val="24"/>
          <w:szCs w:val="24"/>
        </w:rPr>
        <w:t>del Es</w:t>
      </w:r>
      <w:r w:rsidR="00594E56">
        <w:rPr>
          <w:rFonts w:ascii="Arial" w:hAnsi="Arial" w:cs="Arial"/>
          <w:sz w:val="24"/>
          <w:szCs w:val="24"/>
        </w:rPr>
        <w:t>t</w:t>
      </w:r>
      <w:r>
        <w:rPr>
          <w:rFonts w:ascii="Arial" w:hAnsi="Arial" w:cs="Arial"/>
          <w:sz w:val="24"/>
          <w:szCs w:val="24"/>
        </w:rPr>
        <w:t xml:space="preserve">ado </w:t>
      </w:r>
      <w:r w:rsidR="004B2EBE" w:rsidRPr="00A3191F">
        <w:rPr>
          <w:rFonts w:ascii="Arial" w:hAnsi="Arial" w:cs="Arial"/>
          <w:sz w:val="24"/>
          <w:szCs w:val="24"/>
        </w:rPr>
        <w:t xml:space="preserve">es que su capacidad está dada por la ley – en sentido amplio, es decir </w:t>
      </w:r>
      <w:r w:rsidR="004159B6">
        <w:rPr>
          <w:rFonts w:ascii="Arial" w:hAnsi="Arial" w:cs="Arial"/>
          <w:sz w:val="24"/>
          <w:szCs w:val="24"/>
        </w:rPr>
        <w:t xml:space="preserve"> la </w:t>
      </w:r>
      <w:r w:rsidR="004B2EBE" w:rsidRPr="00A3191F">
        <w:rPr>
          <w:rFonts w:ascii="Arial" w:hAnsi="Arial" w:cs="Arial"/>
          <w:sz w:val="24"/>
          <w:szCs w:val="24"/>
        </w:rPr>
        <w:t>Constitución, los tratados internaci</w:t>
      </w:r>
      <w:r w:rsidR="009B757F">
        <w:rPr>
          <w:rFonts w:ascii="Arial" w:hAnsi="Arial" w:cs="Arial"/>
          <w:sz w:val="24"/>
          <w:szCs w:val="24"/>
        </w:rPr>
        <w:t>onales, la ley, los reglamentos-,</w:t>
      </w:r>
      <w:r w:rsidR="00594E56">
        <w:rPr>
          <w:rFonts w:ascii="Arial" w:hAnsi="Arial" w:cs="Arial"/>
          <w:sz w:val="24"/>
          <w:szCs w:val="24"/>
        </w:rPr>
        <w:t xml:space="preserve"> lo cual su vez constituyela garantía de los administrados.</w:t>
      </w:r>
    </w:p>
    <w:p w:rsidR="004B2EBE" w:rsidRPr="00A3191F" w:rsidRDefault="004B2EBE" w:rsidP="00C80EAC">
      <w:pPr>
        <w:spacing w:line="480" w:lineRule="auto"/>
        <w:rPr>
          <w:rFonts w:ascii="Arial" w:hAnsi="Arial" w:cs="Arial"/>
          <w:sz w:val="24"/>
          <w:szCs w:val="24"/>
        </w:rPr>
      </w:pPr>
    </w:p>
    <w:p w:rsidR="00594E56" w:rsidRDefault="00594E56" w:rsidP="00C80EAC">
      <w:pPr>
        <w:tabs>
          <w:tab w:val="left" w:pos="1701"/>
        </w:tabs>
        <w:spacing w:line="480" w:lineRule="auto"/>
        <w:rPr>
          <w:rFonts w:ascii="Arial" w:hAnsi="Arial" w:cs="Arial"/>
          <w:sz w:val="24"/>
          <w:szCs w:val="24"/>
        </w:rPr>
      </w:pPr>
      <w:r>
        <w:rPr>
          <w:rFonts w:ascii="Arial" w:hAnsi="Arial" w:cs="Arial"/>
          <w:sz w:val="24"/>
          <w:szCs w:val="24"/>
        </w:rPr>
        <w:tab/>
        <w:t>De modo que e</w:t>
      </w:r>
      <w:r w:rsidR="004B2EBE" w:rsidRPr="00A3191F">
        <w:rPr>
          <w:rFonts w:ascii="Arial" w:hAnsi="Arial" w:cs="Arial"/>
          <w:sz w:val="24"/>
          <w:szCs w:val="24"/>
        </w:rPr>
        <w:t xml:space="preserve">l origen de los poderes del Estado está dado por la </w:t>
      </w:r>
      <w:r>
        <w:rPr>
          <w:rFonts w:ascii="Arial" w:hAnsi="Arial" w:cs="Arial"/>
          <w:sz w:val="24"/>
          <w:szCs w:val="24"/>
        </w:rPr>
        <w:t>Ley</w:t>
      </w:r>
      <w:r w:rsidR="004B2EBE" w:rsidRPr="00A3191F">
        <w:rPr>
          <w:rFonts w:ascii="Arial" w:hAnsi="Arial" w:cs="Arial"/>
          <w:sz w:val="24"/>
          <w:szCs w:val="24"/>
        </w:rPr>
        <w:t>, es decir que el Estado est</w:t>
      </w:r>
      <w:r>
        <w:rPr>
          <w:rFonts w:ascii="Arial" w:hAnsi="Arial" w:cs="Arial"/>
          <w:sz w:val="24"/>
          <w:szCs w:val="24"/>
        </w:rPr>
        <w:t>á obligado en la medida que la L</w:t>
      </w:r>
      <w:r w:rsidR="004B2EBE" w:rsidRPr="00A3191F">
        <w:rPr>
          <w:rFonts w:ascii="Arial" w:hAnsi="Arial" w:cs="Arial"/>
          <w:sz w:val="24"/>
          <w:szCs w:val="24"/>
        </w:rPr>
        <w:t xml:space="preserve">ey (en </w:t>
      </w:r>
      <w:r w:rsidR="00A3191F">
        <w:rPr>
          <w:rFonts w:ascii="Arial" w:hAnsi="Arial" w:cs="Arial"/>
          <w:sz w:val="24"/>
          <w:szCs w:val="24"/>
        </w:rPr>
        <w:t xml:space="preserve">el </w:t>
      </w:r>
      <w:r w:rsidR="004B2EBE" w:rsidRPr="00A3191F">
        <w:rPr>
          <w:rFonts w:ascii="Arial" w:hAnsi="Arial" w:cs="Arial"/>
          <w:sz w:val="24"/>
          <w:szCs w:val="24"/>
        </w:rPr>
        <w:t xml:space="preserve">sentido </w:t>
      </w:r>
      <w:r w:rsidR="00A3191F">
        <w:rPr>
          <w:rFonts w:ascii="Arial" w:hAnsi="Arial" w:cs="Arial"/>
          <w:sz w:val="24"/>
          <w:szCs w:val="24"/>
        </w:rPr>
        <w:t xml:space="preserve">reseñado) lo obligue. </w:t>
      </w:r>
    </w:p>
    <w:p w:rsidR="00594E56" w:rsidRDefault="00594E56" w:rsidP="00C80EAC">
      <w:pPr>
        <w:spacing w:line="480" w:lineRule="auto"/>
        <w:rPr>
          <w:rFonts w:ascii="Arial" w:hAnsi="Arial" w:cs="Arial"/>
          <w:sz w:val="24"/>
          <w:szCs w:val="24"/>
        </w:rPr>
      </w:pPr>
    </w:p>
    <w:p w:rsidR="004B2EBE" w:rsidRPr="00A3191F" w:rsidRDefault="00594E56" w:rsidP="00C80EAC">
      <w:pPr>
        <w:tabs>
          <w:tab w:val="left" w:pos="1701"/>
        </w:tabs>
        <w:spacing w:line="480" w:lineRule="auto"/>
        <w:rPr>
          <w:rFonts w:ascii="Arial" w:hAnsi="Arial" w:cs="Arial"/>
          <w:sz w:val="24"/>
          <w:szCs w:val="24"/>
        </w:rPr>
      </w:pPr>
      <w:r>
        <w:rPr>
          <w:rFonts w:ascii="Arial" w:hAnsi="Arial" w:cs="Arial"/>
          <w:sz w:val="24"/>
          <w:szCs w:val="24"/>
        </w:rPr>
        <w:tab/>
      </w:r>
      <w:r w:rsidR="00A3191F">
        <w:rPr>
          <w:rFonts w:ascii="Arial" w:hAnsi="Arial" w:cs="Arial"/>
          <w:sz w:val="24"/>
          <w:szCs w:val="24"/>
        </w:rPr>
        <w:t>S</w:t>
      </w:r>
      <w:r w:rsidR="004B2EBE" w:rsidRPr="00A3191F">
        <w:rPr>
          <w:rFonts w:ascii="Arial" w:hAnsi="Arial" w:cs="Arial"/>
          <w:sz w:val="24"/>
          <w:szCs w:val="24"/>
        </w:rPr>
        <w:t>e trata del principio inverso que rige la vida de las personas: ningún habitante de la Nación será obligado a hacer lo que no  manda la ley, ni privado de lo que ella no prohíbe (art. 19 C.N)</w:t>
      </w:r>
      <w:r w:rsidR="004159B6">
        <w:rPr>
          <w:rFonts w:ascii="Arial" w:hAnsi="Arial" w:cs="Arial"/>
          <w:sz w:val="24"/>
          <w:szCs w:val="24"/>
        </w:rPr>
        <w:t>.</w:t>
      </w:r>
    </w:p>
    <w:p w:rsidR="004B2EBE" w:rsidRPr="00A3191F" w:rsidRDefault="004B2EBE" w:rsidP="00C80EAC">
      <w:pPr>
        <w:spacing w:line="480" w:lineRule="auto"/>
        <w:rPr>
          <w:rFonts w:ascii="Arial" w:hAnsi="Arial" w:cs="Arial"/>
          <w:sz w:val="24"/>
          <w:szCs w:val="24"/>
        </w:rPr>
      </w:pPr>
      <w:r w:rsidRPr="00A3191F">
        <w:rPr>
          <w:rFonts w:ascii="Arial" w:hAnsi="Arial" w:cs="Arial"/>
          <w:sz w:val="24"/>
          <w:szCs w:val="24"/>
        </w:rPr>
        <w:tab/>
      </w:r>
    </w:p>
    <w:p w:rsidR="004B2EBE" w:rsidRDefault="004B2EBE" w:rsidP="00C80EAC">
      <w:pPr>
        <w:tabs>
          <w:tab w:val="left" w:pos="1985"/>
        </w:tabs>
        <w:spacing w:line="480" w:lineRule="auto"/>
        <w:jc w:val="both"/>
        <w:rPr>
          <w:rFonts w:ascii="Arial" w:hAnsi="Arial" w:cs="Arial"/>
          <w:i/>
          <w:sz w:val="24"/>
          <w:szCs w:val="24"/>
        </w:rPr>
      </w:pPr>
      <w:r w:rsidRPr="00A3191F">
        <w:rPr>
          <w:rFonts w:ascii="Arial" w:hAnsi="Arial" w:cs="Arial"/>
          <w:sz w:val="24"/>
          <w:szCs w:val="24"/>
        </w:rPr>
        <w:tab/>
      </w:r>
      <w:r w:rsidR="00A61B99">
        <w:rPr>
          <w:rFonts w:ascii="Arial" w:hAnsi="Arial" w:cs="Arial"/>
          <w:sz w:val="24"/>
          <w:szCs w:val="24"/>
        </w:rPr>
        <w:t>L</w:t>
      </w:r>
      <w:r w:rsidRPr="00A3191F">
        <w:rPr>
          <w:rFonts w:ascii="Arial" w:hAnsi="Arial" w:cs="Arial"/>
          <w:sz w:val="24"/>
          <w:szCs w:val="24"/>
        </w:rPr>
        <w:t>o que trato de explicar</w:t>
      </w:r>
      <w:r w:rsidR="001E2A99">
        <w:rPr>
          <w:rFonts w:ascii="Arial" w:hAnsi="Arial" w:cs="Arial"/>
          <w:sz w:val="24"/>
          <w:szCs w:val="24"/>
        </w:rPr>
        <w:t>,</w:t>
      </w:r>
      <w:r w:rsidRPr="00A3191F">
        <w:rPr>
          <w:rFonts w:ascii="Arial" w:hAnsi="Arial" w:cs="Arial"/>
          <w:sz w:val="24"/>
          <w:szCs w:val="24"/>
        </w:rPr>
        <w:t xml:space="preserve"> es que la Administración no puede obrar sin que el ordenamiento lo autorice en forma expresa o razonablemente implícit</w:t>
      </w:r>
      <w:r w:rsidR="004159B6">
        <w:rPr>
          <w:rFonts w:ascii="Arial" w:hAnsi="Arial" w:cs="Arial"/>
          <w:sz w:val="24"/>
          <w:szCs w:val="24"/>
        </w:rPr>
        <w:t xml:space="preserve">a. </w:t>
      </w:r>
      <w:r w:rsidRPr="00A3191F">
        <w:rPr>
          <w:rFonts w:ascii="Arial" w:hAnsi="Arial" w:cs="Arial"/>
          <w:sz w:val="24"/>
          <w:szCs w:val="24"/>
        </w:rPr>
        <w:t>Frente al principio que rige toda la vida civil</w:t>
      </w:r>
      <w:r w:rsidR="00A3191F">
        <w:rPr>
          <w:rFonts w:ascii="Arial" w:hAnsi="Arial" w:cs="Arial"/>
          <w:sz w:val="24"/>
          <w:szCs w:val="24"/>
        </w:rPr>
        <w:t>:</w:t>
      </w:r>
      <w:r w:rsidRPr="00A3191F">
        <w:rPr>
          <w:rFonts w:ascii="Arial" w:hAnsi="Arial" w:cs="Arial"/>
          <w:i/>
          <w:sz w:val="24"/>
          <w:szCs w:val="24"/>
        </w:rPr>
        <w:t>“debe entenderse permitido todo lo que no está prohibido</w:t>
      </w:r>
      <w:r w:rsidR="00A3191F">
        <w:rPr>
          <w:rFonts w:ascii="Arial" w:hAnsi="Arial" w:cs="Arial"/>
          <w:i/>
          <w:sz w:val="24"/>
          <w:szCs w:val="24"/>
        </w:rPr>
        <w:t>”</w:t>
      </w:r>
      <w:r w:rsidR="00727DD9">
        <w:rPr>
          <w:rFonts w:ascii="Arial" w:hAnsi="Arial" w:cs="Arial"/>
          <w:i/>
          <w:sz w:val="24"/>
          <w:szCs w:val="24"/>
        </w:rPr>
        <w:t xml:space="preserve">, respecto de los órganos </w:t>
      </w:r>
      <w:r w:rsidR="004159B6">
        <w:rPr>
          <w:rFonts w:ascii="Arial" w:hAnsi="Arial" w:cs="Arial"/>
          <w:i/>
          <w:sz w:val="24"/>
          <w:szCs w:val="24"/>
        </w:rPr>
        <w:t>d</w:t>
      </w:r>
      <w:r w:rsidR="00727DD9">
        <w:rPr>
          <w:rFonts w:ascii="Arial" w:hAnsi="Arial" w:cs="Arial"/>
          <w:i/>
          <w:sz w:val="24"/>
          <w:szCs w:val="24"/>
        </w:rPr>
        <w:t xml:space="preserve">el Estado, </w:t>
      </w:r>
      <w:r w:rsidR="00727DD9">
        <w:rPr>
          <w:rFonts w:ascii="Arial" w:hAnsi="Arial" w:cs="Arial"/>
          <w:sz w:val="24"/>
          <w:szCs w:val="24"/>
        </w:rPr>
        <w:t xml:space="preserve">el principio </w:t>
      </w:r>
      <w:r w:rsidRPr="00A3191F">
        <w:rPr>
          <w:rFonts w:ascii="Arial" w:hAnsi="Arial" w:cs="Arial"/>
          <w:sz w:val="24"/>
          <w:szCs w:val="24"/>
        </w:rPr>
        <w:t>es el inverso</w:t>
      </w:r>
      <w:r w:rsidR="00425EDA">
        <w:rPr>
          <w:rFonts w:ascii="Arial" w:hAnsi="Arial" w:cs="Arial"/>
          <w:sz w:val="24"/>
          <w:szCs w:val="24"/>
        </w:rPr>
        <w:t>:</w:t>
      </w:r>
      <w:r w:rsidRPr="00A3191F">
        <w:rPr>
          <w:rFonts w:ascii="Arial" w:hAnsi="Arial" w:cs="Arial"/>
          <w:i/>
          <w:sz w:val="24"/>
          <w:szCs w:val="24"/>
        </w:rPr>
        <w:t>“debe entenderse prohibido todo lo no permitido”</w:t>
      </w:r>
    </w:p>
    <w:p w:rsidR="001E2A99" w:rsidRDefault="001E2A99" w:rsidP="00C80EAC">
      <w:pPr>
        <w:tabs>
          <w:tab w:val="left" w:pos="1985"/>
        </w:tabs>
        <w:spacing w:line="480" w:lineRule="auto"/>
        <w:jc w:val="both"/>
        <w:rPr>
          <w:rFonts w:ascii="Arial" w:hAnsi="Arial" w:cs="Arial"/>
          <w:i/>
          <w:sz w:val="24"/>
          <w:szCs w:val="24"/>
        </w:rPr>
      </w:pPr>
    </w:p>
    <w:p w:rsidR="001E2A99" w:rsidRPr="000D7983" w:rsidRDefault="001E2A99" w:rsidP="00C80EAC">
      <w:pPr>
        <w:tabs>
          <w:tab w:val="left" w:pos="1985"/>
        </w:tabs>
        <w:spacing w:line="480" w:lineRule="auto"/>
        <w:jc w:val="both"/>
        <w:rPr>
          <w:rFonts w:ascii="Arial" w:hAnsi="Arial" w:cs="Arial"/>
          <w:sz w:val="24"/>
          <w:szCs w:val="24"/>
        </w:rPr>
      </w:pPr>
      <w:r>
        <w:rPr>
          <w:rFonts w:ascii="Arial" w:hAnsi="Arial" w:cs="Arial"/>
          <w:i/>
          <w:sz w:val="24"/>
          <w:szCs w:val="24"/>
        </w:rPr>
        <w:tab/>
      </w:r>
      <w:r w:rsidR="000D7983">
        <w:rPr>
          <w:rFonts w:ascii="Arial" w:hAnsi="Arial" w:cs="Arial"/>
          <w:sz w:val="24"/>
          <w:szCs w:val="24"/>
        </w:rPr>
        <w:t>Tal es el sentido que cabe atribuir al principio de legalidad según el cual la Administración ha de actuar conforme al ordenamiento constitucional y legal que determina su competencia al tiempo que los ciudadanos no pueden ser obligados a hacer lo que no se encuentra prescripto en las leyes (art. 19, CN).</w:t>
      </w:r>
      <w:r w:rsidR="000D7983">
        <w:rPr>
          <w:rStyle w:val="Refdenotaalpie"/>
          <w:rFonts w:ascii="Arial" w:hAnsi="Arial" w:cs="Arial"/>
          <w:sz w:val="24"/>
          <w:szCs w:val="24"/>
        </w:rPr>
        <w:footnoteReference w:id="4"/>
      </w:r>
    </w:p>
    <w:p w:rsidR="00425EDA" w:rsidRDefault="00425EDA" w:rsidP="00C80EAC">
      <w:pPr>
        <w:tabs>
          <w:tab w:val="left" w:pos="1985"/>
        </w:tabs>
        <w:spacing w:line="480" w:lineRule="auto"/>
        <w:jc w:val="both"/>
        <w:rPr>
          <w:rFonts w:ascii="Arial" w:hAnsi="Arial" w:cs="Arial"/>
          <w:i/>
          <w:sz w:val="24"/>
          <w:szCs w:val="24"/>
        </w:rPr>
      </w:pPr>
    </w:p>
    <w:p w:rsidR="00425EDA" w:rsidRDefault="00425EDA" w:rsidP="00C80EAC">
      <w:pPr>
        <w:tabs>
          <w:tab w:val="left" w:pos="1985"/>
        </w:tabs>
        <w:spacing w:line="480" w:lineRule="auto"/>
        <w:jc w:val="both"/>
        <w:rPr>
          <w:rFonts w:ascii="Arial" w:hAnsi="Arial" w:cs="Arial"/>
          <w:sz w:val="24"/>
          <w:szCs w:val="24"/>
        </w:rPr>
      </w:pPr>
      <w:r>
        <w:rPr>
          <w:rFonts w:ascii="Arial" w:hAnsi="Arial" w:cs="Arial"/>
          <w:i/>
          <w:sz w:val="24"/>
          <w:szCs w:val="24"/>
        </w:rPr>
        <w:tab/>
      </w:r>
      <w:r>
        <w:rPr>
          <w:rFonts w:ascii="Arial" w:hAnsi="Arial" w:cs="Arial"/>
          <w:sz w:val="24"/>
          <w:szCs w:val="24"/>
        </w:rPr>
        <w:t>Por lo tanto el objetivo del presente trabajo es analizar la posibilidad de involucrar al Estado Argentino, en sus distintos estadios (nacional, provincial, municipal) en el orden de la res</w:t>
      </w:r>
      <w:r w:rsidR="00727DD9">
        <w:rPr>
          <w:rFonts w:ascii="Arial" w:hAnsi="Arial" w:cs="Arial"/>
          <w:sz w:val="24"/>
          <w:szCs w:val="24"/>
        </w:rPr>
        <w:t xml:space="preserve">ponsabilidad </w:t>
      </w:r>
      <w:r w:rsidR="00226021">
        <w:rPr>
          <w:rFonts w:ascii="Arial" w:hAnsi="Arial" w:cs="Arial"/>
          <w:sz w:val="24"/>
          <w:szCs w:val="24"/>
        </w:rPr>
        <w:t>jurídica por daños, por omisión, particularmente en los casos de violencia de género.</w:t>
      </w:r>
    </w:p>
    <w:p w:rsidR="00425EDA" w:rsidRDefault="00425EDA" w:rsidP="00C80EAC">
      <w:pPr>
        <w:tabs>
          <w:tab w:val="left" w:pos="1985"/>
        </w:tabs>
        <w:spacing w:line="480" w:lineRule="auto"/>
        <w:jc w:val="both"/>
        <w:rPr>
          <w:rFonts w:ascii="Arial" w:hAnsi="Arial" w:cs="Arial"/>
          <w:sz w:val="24"/>
          <w:szCs w:val="24"/>
        </w:rPr>
      </w:pPr>
    </w:p>
    <w:p w:rsidR="00425EDA" w:rsidRDefault="00425EDA" w:rsidP="00C80EAC">
      <w:pPr>
        <w:tabs>
          <w:tab w:val="left" w:pos="1985"/>
        </w:tabs>
        <w:spacing w:line="480" w:lineRule="auto"/>
        <w:jc w:val="both"/>
        <w:rPr>
          <w:rFonts w:ascii="Arial" w:hAnsi="Arial" w:cs="Arial"/>
          <w:sz w:val="24"/>
          <w:szCs w:val="24"/>
        </w:rPr>
      </w:pPr>
      <w:r>
        <w:rPr>
          <w:rFonts w:ascii="Arial" w:hAnsi="Arial" w:cs="Arial"/>
          <w:sz w:val="24"/>
          <w:szCs w:val="24"/>
        </w:rPr>
        <w:tab/>
      </w:r>
      <w:r w:rsidRPr="004159B6">
        <w:rPr>
          <w:rFonts w:ascii="Arial" w:hAnsi="Arial" w:cs="Arial"/>
          <w:sz w:val="24"/>
          <w:szCs w:val="24"/>
        </w:rPr>
        <w:t xml:space="preserve">La pregunta que intentaré responder </w:t>
      </w:r>
      <w:r w:rsidR="00226021" w:rsidRPr="004159B6">
        <w:rPr>
          <w:rFonts w:ascii="Arial" w:hAnsi="Arial" w:cs="Arial"/>
          <w:sz w:val="24"/>
          <w:szCs w:val="24"/>
        </w:rPr>
        <w:t>a través d</w:t>
      </w:r>
      <w:r w:rsidRPr="004159B6">
        <w:rPr>
          <w:rFonts w:ascii="Arial" w:hAnsi="Arial" w:cs="Arial"/>
          <w:sz w:val="24"/>
          <w:szCs w:val="24"/>
        </w:rPr>
        <w:t>el presente trabajo es</w:t>
      </w:r>
      <w:r w:rsidR="000466FC">
        <w:rPr>
          <w:rFonts w:ascii="Arial" w:hAnsi="Arial" w:cs="Arial"/>
          <w:sz w:val="24"/>
          <w:szCs w:val="24"/>
        </w:rPr>
        <w:t>,</w:t>
      </w:r>
      <w:r w:rsidRPr="004159B6">
        <w:rPr>
          <w:rFonts w:ascii="Arial" w:hAnsi="Arial" w:cs="Arial"/>
          <w:sz w:val="24"/>
          <w:szCs w:val="24"/>
        </w:rPr>
        <w:t xml:space="preserve"> si el Estado está obligado a </w:t>
      </w:r>
      <w:r w:rsidR="00506576" w:rsidRPr="004159B6">
        <w:rPr>
          <w:rFonts w:ascii="Arial" w:hAnsi="Arial" w:cs="Arial"/>
          <w:sz w:val="24"/>
          <w:szCs w:val="24"/>
        </w:rPr>
        <w:t xml:space="preserve">proteger a las víctimas </w:t>
      </w:r>
      <w:r w:rsidRPr="004159B6">
        <w:rPr>
          <w:rFonts w:ascii="Arial" w:hAnsi="Arial" w:cs="Arial"/>
          <w:sz w:val="24"/>
          <w:szCs w:val="24"/>
        </w:rPr>
        <w:t xml:space="preserve">de violencia </w:t>
      </w:r>
      <w:r w:rsidR="00506576" w:rsidRPr="004159B6">
        <w:rPr>
          <w:rFonts w:ascii="Arial" w:hAnsi="Arial" w:cs="Arial"/>
          <w:sz w:val="24"/>
          <w:szCs w:val="24"/>
        </w:rPr>
        <w:t xml:space="preserve">de género y, en su caso, </w:t>
      </w:r>
      <w:r w:rsidRPr="004159B6">
        <w:rPr>
          <w:rFonts w:ascii="Arial" w:hAnsi="Arial" w:cs="Arial"/>
          <w:sz w:val="24"/>
          <w:szCs w:val="24"/>
        </w:rPr>
        <w:t>cuál/es han de ser el/los estándares de actuación frente a estos casos.</w:t>
      </w:r>
    </w:p>
    <w:p w:rsidR="00425EDA" w:rsidRDefault="00425EDA" w:rsidP="00C80EAC">
      <w:pPr>
        <w:tabs>
          <w:tab w:val="left" w:pos="1985"/>
        </w:tabs>
        <w:spacing w:line="480" w:lineRule="auto"/>
        <w:jc w:val="both"/>
        <w:rPr>
          <w:rFonts w:ascii="Arial" w:hAnsi="Arial" w:cs="Arial"/>
          <w:sz w:val="24"/>
          <w:szCs w:val="24"/>
        </w:rPr>
      </w:pPr>
    </w:p>
    <w:p w:rsidR="00727DD9" w:rsidRPr="00727DD9" w:rsidRDefault="00727DD9" w:rsidP="00C80EAC">
      <w:pPr>
        <w:tabs>
          <w:tab w:val="left" w:pos="1701"/>
        </w:tabs>
        <w:spacing w:line="480" w:lineRule="auto"/>
        <w:jc w:val="both"/>
        <w:rPr>
          <w:rFonts w:ascii="Arial" w:hAnsi="Arial" w:cs="Arial"/>
          <w:b/>
          <w:i/>
          <w:sz w:val="24"/>
          <w:szCs w:val="24"/>
        </w:rPr>
      </w:pPr>
      <w:r>
        <w:rPr>
          <w:rFonts w:ascii="Arial" w:hAnsi="Arial" w:cs="Arial"/>
          <w:b/>
          <w:i/>
          <w:sz w:val="24"/>
          <w:szCs w:val="24"/>
        </w:rPr>
        <w:t xml:space="preserve">DE LA NORMATIVA </w:t>
      </w:r>
    </w:p>
    <w:p w:rsidR="00506576" w:rsidRDefault="00425EDA" w:rsidP="00C80EAC">
      <w:pPr>
        <w:tabs>
          <w:tab w:val="left" w:pos="1701"/>
        </w:tabs>
        <w:spacing w:line="480" w:lineRule="auto"/>
        <w:jc w:val="both"/>
        <w:rPr>
          <w:rFonts w:ascii="Arial" w:hAnsi="Arial" w:cs="Arial"/>
          <w:sz w:val="24"/>
          <w:szCs w:val="24"/>
        </w:rPr>
      </w:pPr>
      <w:r>
        <w:rPr>
          <w:rFonts w:ascii="Arial" w:hAnsi="Arial" w:cs="Arial"/>
          <w:sz w:val="24"/>
          <w:szCs w:val="24"/>
        </w:rPr>
        <w:t>El análisis de la problemática de la violencia de género</w:t>
      </w:r>
      <w:r w:rsidR="00592CF5">
        <w:rPr>
          <w:rFonts w:ascii="Arial" w:hAnsi="Arial" w:cs="Arial"/>
          <w:sz w:val="24"/>
          <w:szCs w:val="24"/>
        </w:rPr>
        <w:t>, excede el marco jurídico, e i</w:t>
      </w:r>
      <w:r w:rsidR="00506576">
        <w:rPr>
          <w:rFonts w:ascii="Arial" w:hAnsi="Arial" w:cs="Arial"/>
          <w:sz w:val="24"/>
          <w:szCs w:val="24"/>
        </w:rPr>
        <w:t>ndudablemente requiere del auxilio de otras ciencias</w:t>
      </w:r>
      <w:r w:rsidR="00592CF5">
        <w:rPr>
          <w:rFonts w:ascii="Arial" w:hAnsi="Arial" w:cs="Arial"/>
          <w:sz w:val="24"/>
          <w:szCs w:val="24"/>
        </w:rPr>
        <w:t xml:space="preserve">, tales como la </w:t>
      </w:r>
      <w:r w:rsidR="00592CF5">
        <w:rPr>
          <w:rFonts w:ascii="Arial" w:hAnsi="Arial" w:cs="Arial"/>
          <w:sz w:val="24"/>
          <w:szCs w:val="24"/>
        </w:rPr>
        <w:lastRenderedPageBreak/>
        <w:t xml:space="preserve">antropología, la sociología, la psicología, el avance de las nuevas tecnologías, </w:t>
      </w:r>
      <w:r w:rsidR="00506576">
        <w:rPr>
          <w:rFonts w:ascii="Arial" w:hAnsi="Arial" w:cs="Arial"/>
          <w:sz w:val="24"/>
          <w:szCs w:val="24"/>
        </w:rPr>
        <w:t xml:space="preserve">tal como lo refiere </w:t>
      </w:r>
      <w:r w:rsidR="00592CF5">
        <w:rPr>
          <w:rFonts w:ascii="Arial" w:hAnsi="Arial" w:cs="Arial"/>
          <w:sz w:val="24"/>
          <w:szCs w:val="24"/>
        </w:rPr>
        <w:t>el temario de estas distinguidas VII Jornadas</w:t>
      </w:r>
      <w:r w:rsidR="004159B6">
        <w:rPr>
          <w:rFonts w:ascii="Arial" w:hAnsi="Arial" w:cs="Arial"/>
          <w:sz w:val="24"/>
          <w:szCs w:val="24"/>
        </w:rPr>
        <w:t>.</w:t>
      </w:r>
    </w:p>
    <w:p w:rsidR="00506576" w:rsidRDefault="00506576" w:rsidP="00C80EAC">
      <w:pPr>
        <w:tabs>
          <w:tab w:val="left" w:pos="1985"/>
        </w:tabs>
        <w:spacing w:line="480" w:lineRule="auto"/>
        <w:jc w:val="both"/>
        <w:rPr>
          <w:rFonts w:ascii="Arial" w:hAnsi="Arial" w:cs="Arial"/>
          <w:sz w:val="24"/>
          <w:szCs w:val="24"/>
        </w:rPr>
      </w:pPr>
    </w:p>
    <w:p w:rsidR="00425EDA" w:rsidRDefault="00506576" w:rsidP="00C80EAC">
      <w:pPr>
        <w:tabs>
          <w:tab w:val="left" w:pos="1701"/>
        </w:tabs>
        <w:spacing w:line="480" w:lineRule="auto"/>
        <w:jc w:val="both"/>
        <w:rPr>
          <w:rFonts w:ascii="Arial" w:hAnsi="Arial" w:cs="Arial"/>
          <w:sz w:val="24"/>
          <w:szCs w:val="24"/>
        </w:rPr>
      </w:pPr>
      <w:r>
        <w:rPr>
          <w:rFonts w:ascii="Arial" w:hAnsi="Arial" w:cs="Arial"/>
          <w:sz w:val="24"/>
          <w:szCs w:val="24"/>
        </w:rPr>
        <w:tab/>
      </w:r>
      <w:r w:rsidR="00592CF5">
        <w:rPr>
          <w:rFonts w:ascii="Arial" w:hAnsi="Arial" w:cs="Arial"/>
          <w:sz w:val="24"/>
          <w:szCs w:val="24"/>
        </w:rPr>
        <w:t>Sin embargo, e</w:t>
      </w:r>
      <w:r>
        <w:rPr>
          <w:rFonts w:ascii="Arial" w:hAnsi="Arial" w:cs="Arial"/>
          <w:sz w:val="24"/>
          <w:szCs w:val="24"/>
        </w:rPr>
        <w:t>l presente es</w:t>
      </w:r>
      <w:r w:rsidR="00425EDA">
        <w:rPr>
          <w:rFonts w:ascii="Arial" w:hAnsi="Arial" w:cs="Arial"/>
          <w:sz w:val="24"/>
          <w:szCs w:val="24"/>
        </w:rPr>
        <w:t xml:space="preserve"> estrictamente jurídico</w:t>
      </w:r>
      <w:r w:rsidR="00592CF5">
        <w:rPr>
          <w:rFonts w:ascii="Arial" w:hAnsi="Arial" w:cs="Arial"/>
          <w:sz w:val="24"/>
          <w:szCs w:val="24"/>
        </w:rPr>
        <w:t>.</w:t>
      </w:r>
    </w:p>
    <w:p w:rsidR="00592CF5" w:rsidRDefault="00592CF5" w:rsidP="00C80EAC">
      <w:pPr>
        <w:tabs>
          <w:tab w:val="left" w:pos="1985"/>
        </w:tabs>
        <w:spacing w:line="480" w:lineRule="auto"/>
        <w:jc w:val="both"/>
        <w:rPr>
          <w:rFonts w:ascii="Arial" w:hAnsi="Arial" w:cs="Arial"/>
          <w:sz w:val="24"/>
          <w:szCs w:val="24"/>
        </w:rPr>
      </w:pPr>
    </w:p>
    <w:p w:rsidR="002B7FA5" w:rsidRDefault="00592CF5" w:rsidP="00C80EAC">
      <w:pPr>
        <w:tabs>
          <w:tab w:val="left" w:pos="1701"/>
        </w:tabs>
        <w:spacing w:line="480" w:lineRule="auto"/>
        <w:jc w:val="both"/>
        <w:rPr>
          <w:rFonts w:ascii="Arial" w:hAnsi="Arial" w:cs="Arial"/>
          <w:sz w:val="24"/>
          <w:szCs w:val="24"/>
        </w:rPr>
      </w:pPr>
      <w:r>
        <w:rPr>
          <w:rFonts w:ascii="Arial" w:hAnsi="Arial" w:cs="Arial"/>
          <w:sz w:val="24"/>
          <w:szCs w:val="24"/>
        </w:rPr>
        <w:tab/>
        <w:t>De modo que en este marco jurídico</w:t>
      </w:r>
      <w:r w:rsidR="000D7983">
        <w:rPr>
          <w:rFonts w:ascii="Arial" w:hAnsi="Arial" w:cs="Arial"/>
          <w:sz w:val="24"/>
          <w:szCs w:val="24"/>
        </w:rPr>
        <w:t>, seguidamente</w:t>
      </w:r>
      <w:r>
        <w:rPr>
          <w:rFonts w:ascii="Arial" w:hAnsi="Arial" w:cs="Arial"/>
          <w:sz w:val="24"/>
          <w:szCs w:val="24"/>
        </w:rPr>
        <w:t xml:space="preserve"> procederé a analizar</w:t>
      </w:r>
      <w:r w:rsidR="000D7983">
        <w:rPr>
          <w:rFonts w:ascii="Arial" w:hAnsi="Arial" w:cs="Arial"/>
          <w:sz w:val="24"/>
          <w:szCs w:val="24"/>
        </w:rPr>
        <w:t xml:space="preserve"> cuáles </w:t>
      </w:r>
      <w:r>
        <w:rPr>
          <w:rFonts w:ascii="Arial" w:hAnsi="Arial" w:cs="Arial"/>
          <w:sz w:val="24"/>
          <w:szCs w:val="24"/>
        </w:rPr>
        <w:t xml:space="preserve">son las normas  </w:t>
      </w:r>
      <w:r w:rsidR="002B7FA5">
        <w:rPr>
          <w:rFonts w:ascii="Arial" w:hAnsi="Arial" w:cs="Arial"/>
          <w:sz w:val="24"/>
          <w:szCs w:val="24"/>
        </w:rPr>
        <w:t xml:space="preserve">que rigen. </w:t>
      </w:r>
    </w:p>
    <w:p w:rsidR="00915575" w:rsidRDefault="00915575" w:rsidP="00C80EAC">
      <w:pPr>
        <w:tabs>
          <w:tab w:val="left" w:pos="1701"/>
        </w:tabs>
        <w:spacing w:line="480" w:lineRule="auto"/>
        <w:jc w:val="both"/>
        <w:rPr>
          <w:rFonts w:ascii="Arial" w:hAnsi="Arial" w:cs="Arial"/>
          <w:sz w:val="24"/>
          <w:szCs w:val="24"/>
        </w:rPr>
      </w:pPr>
    </w:p>
    <w:p w:rsidR="00915575" w:rsidRDefault="00915575" w:rsidP="00C80EAC">
      <w:pPr>
        <w:tabs>
          <w:tab w:val="left" w:pos="1701"/>
        </w:tabs>
        <w:spacing w:line="480" w:lineRule="auto"/>
        <w:jc w:val="both"/>
        <w:rPr>
          <w:rFonts w:ascii="Arial" w:hAnsi="Arial" w:cs="Arial"/>
          <w:sz w:val="24"/>
          <w:szCs w:val="24"/>
        </w:rPr>
      </w:pPr>
      <w:r>
        <w:rPr>
          <w:rFonts w:ascii="Arial" w:hAnsi="Arial" w:cs="Arial"/>
          <w:sz w:val="24"/>
          <w:szCs w:val="24"/>
        </w:rPr>
        <w:tab/>
        <w:t xml:space="preserve">A ese fin he utilizado el </w:t>
      </w:r>
      <w:r w:rsidR="004159B6">
        <w:rPr>
          <w:rFonts w:ascii="Arial" w:hAnsi="Arial" w:cs="Arial"/>
          <w:sz w:val="24"/>
          <w:szCs w:val="24"/>
        </w:rPr>
        <w:t>M</w:t>
      </w:r>
      <w:r>
        <w:rPr>
          <w:rFonts w:ascii="Arial" w:hAnsi="Arial" w:cs="Arial"/>
          <w:sz w:val="24"/>
          <w:szCs w:val="24"/>
        </w:rPr>
        <w:t xml:space="preserve">étodo </w:t>
      </w:r>
      <w:r w:rsidR="004159B6">
        <w:rPr>
          <w:rFonts w:ascii="Arial" w:hAnsi="Arial" w:cs="Arial"/>
          <w:sz w:val="24"/>
          <w:szCs w:val="24"/>
        </w:rPr>
        <w:t>S</w:t>
      </w:r>
      <w:r>
        <w:rPr>
          <w:rFonts w:ascii="Arial" w:hAnsi="Arial" w:cs="Arial"/>
          <w:sz w:val="24"/>
          <w:szCs w:val="24"/>
        </w:rPr>
        <w:t>istemático de interpretación, que se funda en que los textos jurídicos forman parte de un todo, lo que Cossio ha llamado “La  plenitud hermenéutica del derecho”</w:t>
      </w:r>
      <w:r>
        <w:rPr>
          <w:rStyle w:val="Refdenotaalpie"/>
          <w:rFonts w:ascii="Arial" w:hAnsi="Arial" w:cs="Arial"/>
          <w:sz w:val="24"/>
          <w:szCs w:val="24"/>
        </w:rPr>
        <w:footnoteReference w:id="5"/>
      </w:r>
    </w:p>
    <w:p w:rsidR="00226021" w:rsidRDefault="00226021" w:rsidP="00C80EAC">
      <w:pPr>
        <w:tabs>
          <w:tab w:val="left" w:pos="1701"/>
        </w:tabs>
        <w:spacing w:line="480" w:lineRule="auto"/>
        <w:jc w:val="both"/>
        <w:rPr>
          <w:rFonts w:ascii="Arial" w:hAnsi="Arial" w:cs="Arial"/>
          <w:sz w:val="24"/>
          <w:szCs w:val="24"/>
        </w:rPr>
      </w:pPr>
    </w:p>
    <w:p w:rsidR="00727DD9" w:rsidRPr="00915575" w:rsidRDefault="00226021" w:rsidP="00C80EAC">
      <w:pPr>
        <w:spacing w:line="480" w:lineRule="auto"/>
        <w:jc w:val="both"/>
        <w:rPr>
          <w:rFonts w:ascii="Arial" w:hAnsi="Arial" w:cs="Arial"/>
          <w:sz w:val="24"/>
          <w:szCs w:val="24"/>
        </w:rPr>
      </w:pPr>
      <w:r>
        <w:rPr>
          <w:rFonts w:ascii="Arial" w:hAnsi="Arial" w:cs="Arial"/>
          <w:sz w:val="24"/>
          <w:szCs w:val="24"/>
        </w:rPr>
        <w:tab/>
      </w:r>
      <w:r w:rsidR="00915575" w:rsidRPr="00915575">
        <w:rPr>
          <w:rFonts w:ascii="Helvetica" w:eastAsia="Times New Roman" w:hAnsi="Helvetica" w:cs="Helvetica"/>
          <w:color w:val="000000"/>
          <w:sz w:val="24"/>
          <w:szCs w:val="24"/>
          <w:lang w:eastAsia="es-AR"/>
        </w:rPr>
        <w:t>                 </w:t>
      </w:r>
      <w:r w:rsidR="002B7FA5" w:rsidRPr="00915575">
        <w:rPr>
          <w:rFonts w:ascii="Arial" w:hAnsi="Arial" w:cs="Arial"/>
          <w:sz w:val="24"/>
          <w:szCs w:val="24"/>
        </w:rPr>
        <w:t>Esto resulta ser de estricto rigor, ya que para arribar al resultado deseado tendremos que analizar las normas vigentes para determinar cuál es la conducta a la que está obligado a cumplir el Estado para no incurrir</w:t>
      </w:r>
      <w:r w:rsidR="00915575">
        <w:rPr>
          <w:rFonts w:ascii="Arial" w:hAnsi="Arial" w:cs="Arial"/>
          <w:sz w:val="24"/>
          <w:szCs w:val="24"/>
        </w:rPr>
        <w:t>, o eventualmente, incurrir</w:t>
      </w:r>
      <w:r w:rsidR="002B7FA5" w:rsidRPr="00915575">
        <w:rPr>
          <w:rFonts w:ascii="Arial" w:hAnsi="Arial" w:cs="Arial"/>
          <w:sz w:val="24"/>
          <w:szCs w:val="24"/>
        </w:rPr>
        <w:t xml:space="preserve"> en su Responsabilidad por Daños. </w:t>
      </w:r>
    </w:p>
    <w:p w:rsidR="00E141B2" w:rsidRDefault="00E141B2" w:rsidP="00C80EAC">
      <w:pPr>
        <w:tabs>
          <w:tab w:val="left" w:pos="1701"/>
        </w:tabs>
        <w:spacing w:line="480" w:lineRule="auto"/>
        <w:jc w:val="both"/>
        <w:rPr>
          <w:rFonts w:ascii="Arial" w:hAnsi="Arial" w:cs="Arial"/>
          <w:sz w:val="24"/>
          <w:szCs w:val="24"/>
        </w:rPr>
      </w:pPr>
    </w:p>
    <w:p w:rsidR="00592CF5" w:rsidRDefault="009160C5" w:rsidP="00C80EAC">
      <w:pPr>
        <w:tabs>
          <w:tab w:val="left" w:pos="1701"/>
        </w:tabs>
        <w:spacing w:line="480" w:lineRule="auto"/>
        <w:jc w:val="both"/>
        <w:rPr>
          <w:rFonts w:ascii="Times New Roman" w:hAnsi="Times New Roman" w:cs="Times New Roman"/>
          <w:sz w:val="24"/>
          <w:szCs w:val="24"/>
        </w:rPr>
      </w:pPr>
      <w:r>
        <w:rPr>
          <w:rFonts w:ascii="Arial" w:hAnsi="Arial" w:cs="Arial"/>
          <w:sz w:val="24"/>
          <w:szCs w:val="24"/>
        </w:rPr>
        <w:tab/>
      </w:r>
      <w:r w:rsidR="00B144D5">
        <w:rPr>
          <w:rFonts w:ascii="Arial" w:hAnsi="Arial" w:cs="Arial"/>
          <w:sz w:val="24"/>
          <w:szCs w:val="24"/>
        </w:rPr>
        <w:t>Al respecto, e</w:t>
      </w:r>
      <w:r>
        <w:rPr>
          <w:rFonts w:ascii="Arial" w:hAnsi="Arial" w:cs="Arial"/>
          <w:sz w:val="24"/>
          <w:szCs w:val="24"/>
        </w:rPr>
        <w:t>l principio de validez supranacional de las normas se tornó operativo c</w:t>
      </w:r>
      <w:r w:rsidR="00592CF5" w:rsidRPr="009160C5">
        <w:rPr>
          <w:rFonts w:ascii="Arial" w:hAnsi="Arial" w:cs="Arial"/>
          <w:sz w:val="24"/>
          <w:szCs w:val="24"/>
        </w:rPr>
        <w:t>on la Reforma de la Constitución Nacional en 1.994</w:t>
      </w:r>
      <w:r w:rsidR="00635591">
        <w:rPr>
          <w:rFonts w:ascii="Arial" w:hAnsi="Arial" w:cs="Arial"/>
          <w:sz w:val="24"/>
          <w:szCs w:val="24"/>
        </w:rPr>
        <w:t>.</w:t>
      </w:r>
    </w:p>
    <w:p w:rsidR="009160C5" w:rsidRDefault="009160C5" w:rsidP="00C80EAC">
      <w:pPr>
        <w:tabs>
          <w:tab w:val="left" w:pos="1701"/>
        </w:tabs>
        <w:spacing w:line="480" w:lineRule="auto"/>
        <w:jc w:val="both"/>
        <w:rPr>
          <w:rFonts w:ascii="Times New Roman" w:hAnsi="Times New Roman" w:cs="Times New Roman"/>
          <w:sz w:val="24"/>
          <w:szCs w:val="24"/>
        </w:rPr>
      </w:pPr>
    </w:p>
    <w:p w:rsidR="00592CF5" w:rsidRPr="009160C5" w:rsidRDefault="00592CF5" w:rsidP="00C80EAC">
      <w:pPr>
        <w:tabs>
          <w:tab w:val="left" w:pos="1701"/>
        </w:tabs>
        <w:spacing w:line="480" w:lineRule="auto"/>
        <w:jc w:val="both"/>
        <w:rPr>
          <w:rFonts w:ascii="Arial" w:hAnsi="Arial" w:cs="Arial"/>
          <w:sz w:val="24"/>
          <w:szCs w:val="24"/>
        </w:rPr>
      </w:pPr>
      <w:r>
        <w:rPr>
          <w:rFonts w:ascii="Times New Roman" w:hAnsi="Times New Roman" w:cs="Times New Roman"/>
          <w:sz w:val="24"/>
          <w:szCs w:val="24"/>
        </w:rPr>
        <w:tab/>
      </w:r>
      <w:r w:rsidR="009160C5" w:rsidRPr="009160C5">
        <w:rPr>
          <w:rFonts w:ascii="Arial" w:hAnsi="Arial" w:cs="Arial"/>
          <w:sz w:val="24"/>
          <w:szCs w:val="24"/>
        </w:rPr>
        <w:t>El p</w:t>
      </w:r>
      <w:r w:rsidRPr="009160C5">
        <w:rPr>
          <w:rFonts w:ascii="Arial" w:hAnsi="Arial" w:cs="Arial"/>
          <w:sz w:val="24"/>
          <w:szCs w:val="24"/>
        </w:rPr>
        <w:t>rincipio que había tenido su acogida en el ámbito de nuestro país por vía pretoriana, en el caso de la Corte Suprema de la Nación</w:t>
      </w:r>
      <w:r w:rsidR="00635591">
        <w:rPr>
          <w:rFonts w:ascii="Arial" w:hAnsi="Arial" w:cs="Arial"/>
          <w:sz w:val="24"/>
          <w:szCs w:val="24"/>
        </w:rPr>
        <w:t>,</w:t>
      </w:r>
      <w:r w:rsidRPr="009160C5">
        <w:rPr>
          <w:rFonts w:ascii="Arial" w:hAnsi="Arial" w:cs="Arial"/>
          <w:sz w:val="24"/>
          <w:szCs w:val="24"/>
        </w:rPr>
        <w:t xml:space="preserve"> Ekmekdjian </w:t>
      </w:r>
      <w:r w:rsidR="00C13475">
        <w:rPr>
          <w:rStyle w:val="Refdenotaalpie"/>
          <w:rFonts w:ascii="Arial" w:hAnsi="Arial" w:cs="Arial"/>
          <w:sz w:val="24"/>
          <w:szCs w:val="24"/>
        </w:rPr>
        <w:footnoteReference w:id="6"/>
      </w:r>
      <w:r w:rsidRPr="009160C5">
        <w:rPr>
          <w:rFonts w:ascii="Arial" w:hAnsi="Arial" w:cs="Arial"/>
          <w:sz w:val="24"/>
          <w:szCs w:val="24"/>
        </w:rPr>
        <w:t>c/ Sofovich de 1992 en ocasión de tratarse el Derecho a réplica y que tuvo acogimiento definitivo de orden constitucional en el año 1994</w:t>
      </w:r>
      <w:r w:rsidR="00635591">
        <w:rPr>
          <w:rFonts w:ascii="Arial" w:hAnsi="Arial" w:cs="Arial"/>
          <w:sz w:val="24"/>
          <w:szCs w:val="24"/>
        </w:rPr>
        <w:t>,</w:t>
      </w:r>
      <w:r w:rsidRPr="009160C5">
        <w:rPr>
          <w:rFonts w:ascii="Arial" w:hAnsi="Arial" w:cs="Arial"/>
          <w:sz w:val="24"/>
          <w:szCs w:val="24"/>
        </w:rPr>
        <w:t xml:space="preserve"> cuando se incorpora el art. 75 inc. 22 y el 24 de la C.N.</w:t>
      </w:r>
    </w:p>
    <w:p w:rsidR="00592CF5" w:rsidRPr="009160C5" w:rsidRDefault="00592CF5" w:rsidP="00C80EAC">
      <w:pPr>
        <w:tabs>
          <w:tab w:val="left" w:pos="1701"/>
        </w:tabs>
        <w:spacing w:line="480" w:lineRule="auto"/>
        <w:jc w:val="both"/>
        <w:rPr>
          <w:rFonts w:ascii="Arial" w:hAnsi="Arial" w:cs="Arial"/>
          <w:sz w:val="24"/>
          <w:szCs w:val="24"/>
        </w:rPr>
      </w:pPr>
    </w:p>
    <w:p w:rsidR="005061D3" w:rsidRDefault="00592CF5" w:rsidP="00C80EAC">
      <w:pPr>
        <w:tabs>
          <w:tab w:val="left" w:pos="1701"/>
        </w:tabs>
        <w:spacing w:line="480" w:lineRule="auto"/>
        <w:jc w:val="both"/>
        <w:rPr>
          <w:rFonts w:ascii="Arial" w:hAnsi="Arial" w:cs="Arial"/>
          <w:sz w:val="24"/>
          <w:szCs w:val="24"/>
        </w:rPr>
      </w:pPr>
      <w:r w:rsidRPr="009160C5">
        <w:rPr>
          <w:rFonts w:ascii="Arial" w:hAnsi="Arial" w:cs="Arial"/>
          <w:sz w:val="24"/>
          <w:szCs w:val="24"/>
        </w:rPr>
        <w:tab/>
        <w:t>Hoy tiene además</w:t>
      </w:r>
      <w:r w:rsidR="009160C5" w:rsidRPr="009160C5">
        <w:rPr>
          <w:rFonts w:ascii="Arial" w:hAnsi="Arial" w:cs="Arial"/>
          <w:sz w:val="24"/>
          <w:szCs w:val="24"/>
        </w:rPr>
        <w:t>,</w:t>
      </w:r>
      <w:r w:rsidRPr="009160C5">
        <w:rPr>
          <w:rFonts w:ascii="Arial" w:hAnsi="Arial" w:cs="Arial"/>
          <w:sz w:val="24"/>
          <w:szCs w:val="24"/>
        </w:rPr>
        <w:t xml:space="preserve"> acogida en el </w:t>
      </w:r>
      <w:r w:rsidR="00F234B0">
        <w:rPr>
          <w:rFonts w:ascii="Arial" w:hAnsi="Arial" w:cs="Arial"/>
          <w:sz w:val="24"/>
          <w:szCs w:val="24"/>
        </w:rPr>
        <w:t xml:space="preserve">nuevo Código </w:t>
      </w:r>
      <w:r w:rsidR="005061D3">
        <w:rPr>
          <w:rFonts w:ascii="Arial" w:hAnsi="Arial" w:cs="Arial"/>
          <w:sz w:val="24"/>
          <w:szCs w:val="24"/>
        </w:rPr>
        <w:t>Civil y Comercial - Capítulo 1- (art. 16 del anterior Código Civil),</w:t>
      </w:r>
      <w:r w:rsidR="00EB7C8C">
        <w:rPr>
          <w:rFonts w:ascii="Arial" w:hAnsi="Arial" w:cs="Arial"/>
          <w:sz w:val="24"/>
          <w:szCs w:val="24"/>
        </w:rPr>
        <w:t>que tiene alcance general y por lo tanto incluye, en principio, las cuestiones no penales(en sentido lato)</w:t>
      </w:r>
      <w:r w:rsidR="005061D3">
        <w:rPr>
          <w:rFonts w:ascii="Arial" w:hAnsi="Arial" w:cs="Arial"/>
          <w:sz w:val="24"/>
          <w:szCs w:val="24"/>
        </w:rPr>
        <w:t>, y por lo tanto estas normas son aplicables también al Derecho Administrativo</w:t>
      </w:r>
      <w:r w:rsidR="00B5067D">
        <w:rPr>
          <w:rFonts w:ascii="Arial" w:hAnsi="Arial" w:cs="Arial"/>
          <w:sz w:val="24"/>
          <w:szCs w:val="24"/>
        </w:rPr>
        <w:t xml:space="preserve">. </w:t>
      </w:r>
      <w:r w:rsidR="00576904">
        <w:rPr>
          <w:rStyle w:val="Refdenotaalpie"/>
          <w:rFonts w:ascii="Arial" w:hAnsi="Arial" w:cs="Arial"/>
          <w:sz w:val="24"/>
          <w:szCs w:val="24"/>
        </w:rPr>
        <w:footnoteReference w:id="7"/>
      </w:r>
    </w:p>
    <w:p w:rsidR="005061D3" w:rsidRDefault="005061D3" w:rsidP="00C80EAC">
      <w:pPr>
        <w:tabs>
          <w:tab w:val="left" w:pos="1701"/>
        </w:tabs>
        <w:spacing w:line="480" w:lineRule="auto"/>
        <w:jc w:val="both"/>
        <w:rPr>
          <w:rFonts w:ascii="Arial" w:hAnsi="Arial" w:cs="Arial"/>
          <w:sz w:val="24"/>
          <w:szCs w:val="24"/>
        </w:rPr>
      </w:pPr>
    </w:p>
    <w:p w:rsidR="00EB7C8C" w:rsidRDefault="005061D3" w:rsidP="00C80EAC">
      <w:pPr>
        <w:tabs>
          <w:tab w:val="left" w:pos="1701"/>
        </w:tabs>
        <w:spacing w:line="480" w:lineRule="auto"/>
        <w:jc w:val="both"/>
        <w:rPr>
          <w:rFonts w:ascii="Arial" w:hAnsi="Arial" w:cs="Arial"/>
          <w:sz w:val="24"/>
          <w:szCs w:val="24"/>
        </w:rPr>
      </w:pPr>
      <w:r>
        <w:rPr>
          <w:rFonts w:ascii="Arial" w:hAnsi="Arial" w:cs="Arial"/>
          <w:sz w:val="24"/>
          <w:szCs w:val="24"/>
        </w:rPr>
        <w:tab/>
      </w:r>
      <w:r w:rsidR="00B5067D">
        <w:rPr>
          <w:rFonts w:ascii="Arial" w:hAnsi="Arial" w:cs="Arial"/>
          <w:sz w:val="24"/>
          <w:szCs w:val="24"/>
        </w:rPr>
        <w:t xml:space="preserve">Por otra parte, es el </w:t>
      </w:r>
      <w:r>
        <w:rPr>
          <w:rFonts w:ascii="Arial" w:hAnsi="Arial" w:cs="Arial"/>
          <w:sz w:val="24"/>
          <w:szCs w:val="24"/>
        </w:rPr>
        <w:t xml:space="preserve">mismo </w:t>
      </w:r>
      <w:r w:rsidR="00B5067D">
        <w:rPr>
          <w:rFonts w:ascii="Arial" w:hAnsi="Arial" w:cs="Arial"/>
          <w:sz w:val="24"/>
          <w:szCs w:val="24"/>
        </w:rPr>
        <w:t xml:space="preserve">texto legal </w:t>
      </w:r>
      <w:r>
        <w:rPr>
          <w:rFonts w:ascii="Arial" w:hAnsi="Arial" w:cs="Arial"/>
          <w:sz w:val="24"/>
          <w:szCs w:val="24"/>
        </w:rPr>
        <w:t xml:space="preserve">el </w:t>
      </w:r>
      <w:r w:rsidR="00B5067D">
        <w:rPr>
          <w:rFonts w:ascii="Arial" w:hAnsi="Arial" w:cs="Arial"/>
          <w:sz w:val="24"/>
          <w:szCs w:val="24"/>
        </w:rPr>
        <w:t>que funda la e</w:t>
      </w:r>
      <w:r w:rsidR="00A633DF">
        <w:rPr>
          <w:rFonts w:ascii="Arial" w:hAnsi="Arial" w:cs="Arial"/>
          <w:sz w:val="24"/>
          <w:szCs w:val="24"/>
        </w:rPr>
        <w:t>xtensión interpretativa que hace</w:t>
      </w:r>
      <w:r w:rsidR="00B5067D">
        <w:rPr>
          <w:rFonts w:ascii="Arial" w:hAnsi="Arial" w:cs="Arial"/>
          <w:sz w:val="24"/>
          <w:szCs w:val="24"/>
        </w:rPr>
        <w:t>n los órganos ejecutores de la ley civil y administrativa.</w:t>
      </w:r>
      <w:r w:rsidR="00B5067D">
        <w:rPr>
          <w:rStyle w:val="Refdenotaalpie"/>
          <w:rFonts w:ascii="Arial" w:hAnsi="Arial" w:cs="Arial"/>
          <w:sz w:val="24"/>
          <w:szCs w:val="24"/>
        </w:rPr>
        <w:footnoteReference w:id="8"/>
      </w:r>
    </w:p>
    <w:p w:rsidR="00A633DF" w:rsidRDefault="00A633DF" w:rsidP="00C80EAC">
      <w:pPr>
        <w:tabs>
          <w:tab w:val="left" w:pos="1701"/>
        </w:tabs>
        <w:spacing w:line="480" w:lineRule="auto"/>
        <w:jc w:val="both"/>
        <w:rPr>
          <w:rFonts w:ascii="Arial" w:hAnsi="Arial" w:cs="Arial"/>
          <w:sz w:val="24"/>
          <w:szCs w:val="24"/>
        </w:rPr>
      </w:pPr>
      <w:r>
        <w:rPr>
          <w:rFonts w:ascii="Arial" w:hAnsi="Arial" w:cs="Arial"/>
          <w:sz w:val="24"/>
          <w:szCs w:val="24"/>
        </w:rPr>
        <w:tab/>
      </w:r>
    </w:p>
    <w:p w:rsidR="00B5067D" w:rsidRDefault="00790493" w:rsidP="00C80EAC">
      <w:pPr>
        <w:tabs>
          <w:tab w:val="left" w:pos="1701"/>
        </w:tabs>
        <w:spacing w:line="480" w:lineRule="auto"/>
        <w:jc w:val="both"/>
        <w:rPr>
          <w:rFonts w:ascii="Arial" w:hAnsi="Arial" w:cs="Arial"/>
          <w:sz w:val="24"/>
          <w:szCs w:val="24"/>
        </w:rPr>
      </w:pPr>
      <w:r>
        <w:rPr>
          <w:rFonts w:ascii="Arial" w:hAnsi="Arial" w:cs="Arial"/>
          <w:sz w:val="24"/>
          <w:szCs w:val="24"/>
        </w:rPr>
        <w:tab/>
      </w:r>
      <w:r w:rsidR="005061D3">
        <w:rPr>
          <w:rFonts w:ascii="Arial" w:hAnsi="Arial" w:cs="Arial"/>
          <w:sz w:val="24"/>
          <w:szCs w:val="24"/>
        </w:rPr>
        <w:t>Sin embargo, es de destacar que</w:t>
      </w:r>
      <w:r>
        <w:rPr>
          <w:rFonts w:ascii="Arial" w:hAnsi="Arial" w:cs="Arial"/>
          <w:sz w:val="24"/>
          <w:szCs w:val="24"/>
        </w:rPr>
        <w:t xml:space="preserve"> la norma explicitada</w:t>
      </w:r>
      <w:r w:rsidR="00A633DF">
        <w:rPr>
          <w:rFonts w:ascii="Arial" w:hAnsi="Arial" w:cs="Arial"/>
          <w:sz w:val="24"/>
          <w:szCs w:val="24"/>
        </w:rPr>
        <w:tab/>
      </w:r>
      <w:r>
        <w:rPr>
          <w:rFonts w:ascii="Arial" w:hAnsi="Arial" w:cs="Arial"/>
          <w:sz w:val="24"/>
          <w:szCs w:val="24"/>
        </w:rPr>
        <w:t>por esta vía no es obligatoria para el mismo órgano u o</w:t>
      </w:r>
      <w:r w:rsidR="00915575">
        <w:rPr>
          <w:rFonts w:ascii="Arial" w:hAnsi="Arial" w:cs="Arial"/>
          <w:sz w:val="24"/>
          <w:szCs w:val="24"/>
        </w:rPr>
        <w:t>t</w:t>
      </w:r>
      <w:r>
        <w:rPr>
          <w:rFonts w:ascii="Arial" w:hAnsi="Arial" w:cs="Arial"/>
          <w:sz w:val="24"/>
          <w:szCs w:val="24"/>
        </w:rPr>
        <w:t>ros o para el mismo juez en casos similares, ya que no proviene de órgano legislativo ni de sentencia de casación o plenaria.</w:t>
      </w:r>
      <w:r>
        <w:rPr>
          <w:rStyle w:val="Refdenotaalpie"/>
          <w:rFonts w:ascii="Arial" w:hAnsi="Arial" w:cs="Arial"/>
          <w:sz w:val="24"/>
          <w:szCs w:val="24"/>
        </w:rPr>
        <w:footnoteReference w:id="9"/>
      </w:r>
    </w:p>
    <w:p w:rsidR="00790493" w:rsidRDefault="00790493" w:rsidP="00C80EAC">
      <w:pPr>
        <w:tabs>
          <w:tab w:val="left" w:pos="1701"/>
        </w:tabs>
        <w:spacing w:line="480" w:lineRule="auto"/>
        <w:jc w:val="both"/>
        <w:rPr>
          <w:rFonts w:ascii="Arial" w:hAnsi="Arial" w:cs="Arial"/>
          <w:sz w:val="24"/>
          <w:szCs w:val="24"/>
        </w:rPr>
      </w:pPr>
    </w:p>
    <w:p w:rsidR="00592CF5" w:rsidRDefault="00A633DF" w:rsidP="00C80EAC">
      <w:pPr>
        <w:tabs>
          <w:tab w:val="left" w:pos="1701"/>
        </w:tabs>
        <w:spacing w:line="480" w:lineRule="auto"/>
        <w:jc w:val="both"/>
        <w:rPr>
          <w:rFonts w:ascii="Arial" w:hAnsi="Arial" w:cs="Arial"/>
          <w:sz w:val="24"/>
          <w:szCs w:val="24"/>
        </w:rPr>
      </w:pPr>
      <w:r>
        <w:rPr>
          <w:rFonts w:ascii="Arial" w:hAnsi="Arial" w:cs="Arial"/>
          <w:sz w:val="24"/>
          <w:szCs w:val="24"/>
        </w:rPr>
        <w:lastRenderedPageBreak/>
        <w:tab/>
      </w:r>
      <w:r w:rsidR="005061D3">
        <w:rPr>
          <w:rFonts w:ascii="Arial" w:hAnsi="Arial" w:cs="Arial"/>
          <w:sz w:val="24"/>
          <w:szCs w:val="24"/>
        </w:rPr>
        <w:t>Ahora bien, en este marco,</w:t>
      </w:r>
      <w:r w:rsidR="009160C5" w:rsidRPr="009160C5">
        <w:rPr>
          <w:rFonts w:ascii="Arial" w:hAnsi="Arial" w:cs="Arial"/>
          <w:sz w:val="24"/>
          <w:szCs w:val="24"/>
        </w:rPr>
        <w:t xml:space="preserve">nuestro país firmó </w:t>
      </w:r>
      <w:r w:rsidR="00B378C2">
        <w:rPr>
          <w:rFonts w:ascii="Arial" w:hAnsi="Arial" w:cs="Arial"/>
          <w:sz w:val="24"/>
          <w:szCs w:val="24"/>
        </w:rPr>
        <w:t xml:space="preserve">la </w:t>
      </w:r>
      <w:r w:rsidR="00592CF5" w:rsidRPr="009160C5">
        <w:rPr>
          <w:rFonts w:ascii="Arial" w:hAnsi="Arial" w:cs="Arial"/>
          <w:sz w:val="24"/>
          <w:szCs w:val="24"/>
        </w:rPr>
        <w:t>"Convención interamericana para prevenir, sancionar y erradicar la violencia contra la mujer</w:t>
      </w:r>
      <w:r w:rsidR="00635591">
        <w:rPr>
          <w:rFonts w:ascii="Arial" w:hAnsi="Arial" w:cs="Arial"/>
          <w:sz w:val="24"/>
          <w:szCs w:val="24"/>
        </w:rPr>
        <w:t>”,</w:t>
      </w:r>
      <w:r w:rsidR="009160C5" w:rsidRPr="009160C5">
        <w:rPr>
          <w:rFonts w:ascii="Arial" w:hAnsi="Arial" w:cs="Arial"/>
          <w:sz w:val="24"/>
          <w:szCs w:val="24"/>
        </w:rPr>
        <w:t xml:space="preserve"> conocida como la </w:t>
      </w:r>
      <w:r w:rsidR="00635591">
        <w:rPr>
          <w:rFonts w:ascii="Arial" w:hAnsi="Arial" w:cs="Arial"/>
          <w:sz w:val="24"/>
          <w:szCs w:val="24"/>
        </w:rPr>
        <w:t>“</w:t>
      </w:r>
      <w:r w:rsidR="009160C5" w:rsidRPr="009160C5">
        <w:rPr>
          <w:rFonts w:ascii="Arial" w:hAnsi="Arial" w:cs="Arial"/>
          <w:sz w:val="24"/>
          <w:szCs w:val="24"/>
        </w:rPr>
        <w:t>Convención de Belem do Par</w:t>
      </w:r>
      <w:r w:rsidR="00635591">
        <w:rPr>
          <w:rFonts w:ascii="Arial" w:hAnsi="Arial" w:cs="Arial"/>
          <w:sz w:val="24"/>
          <w:szCs w:val="24"/>
        </w:rPr>
        <w:t>á”</w:t>
      </w:r>
      <w:r w:rsidR="009160C5" w:rsidRPr="009160C5">
        <w:rPr>
          <w:rFonts w:ascii="Arial" w:hAnsi="Arial" w:cs="Arial"/>
          <w:sz w:val="24"/>
          <w:szCs w:val="24"/>
        </w:rPr>
        <w:t xml:space="preserve">, </w:t>
      </w:r>
      <w:r w:rsidR="00592CF5" w:rsidRPr="009160C5">
        <w:rPr>
          <w:rFonts w:ascii="Arial" w:hAnsi="Arial" w:cs="Arial"/>
          <w:sz w:val="24"/>
          <w:szCs w:val="24"/>
        </w:rPr>
        <w:t xml:space="preserve"> de fecha 06/10/94 ratificada en nuestro país 05/07/96 </w:t>
      </w:r>
      <w:r w:rsidR="0000100C">
        <w:rPr>
          <w:rFonts w:ascii="Arial" w:hAnsi="Arial" w:cs="Arial"/>
          <w:sz w:val="24"/>
          <w:szCs w:val="24"/>
        </w:rPr>
        <w:t xml:space="preserve">que </w:t>
      </w:r>
      <w:r w:rsidR="00592CF5" w:rsidRPr="009160C5">
        <w:rPr>
          <w:rFonts w:ascii="Arial" w:hAnsi="Arial" w:cs="Arial"/>
          <w:sz w:val="24"/>
          <w:szCs w:val="24"/>
        </w:rPr>
        <w:t>entr</w:t>
      </w:r>
      <w:r w:rsidR="00635591">
        <w:rPr>
          <w:rFonts w:ascii="Arial" w:hAnsi="Arial" w:cs="Arial"/>
          <w:sz w:val="24"/>
          <w:szCs w:val="24"/>
        </w:rPr>
        <w:t>ó</w:t>
      </w:r>
      <w:r w:rsidR="00592CF5" w:rsidRPr="009160C5">
        <w:rPr>
          <w:rFonts w:ascii="Arial" w:hAnsi="Arial" w:cs="Arial"/>
          <w:sz w:val="24"/>
          <w:szCs w:val="24"/>
        </w:rPr>
        <w:t xml:space="preserve"> en vigor el 03/08/96 (arts. 75 inc. 22 y 24 C.N).</w:t>
      </w:r>
    </w:p>
    <w:p w:rsidR="00D14461" w:rsidRDefault="00D14461" w:rsidP="00C80EAC">
      <w:pPr>
        <w:tabs>
          <w:tab w:val="left" w:pos="1701"/>
        </w:tabs>
        <w:spacing w:line="480" w:lineRule="auto"/>
        <w:jc w:val="both"/>
        <w:rPr>
          <w:rFonts w:ascii="Arial" w:hAnsi="Arial" w:cs="Arial"/>
          <w:sz w:val="24"/>
          <w:szCs w:val="24"/>
        </w:rPr>
      </w:pPr>
    </w:p>
    <w:p w:rsidR="00D14461" w:rsidRPr="00D14461" w:rsidRDefault="00D14461" w:rsidP="00C80EAC">
      <w:pPr>
        <w:tabs>
          <w:tab w:val="left" w:pos="1701"/>
        </w:tabs>
        <w:spacing w:line="480" w:lineRule="auto"/>
        <w:jc w:val="both"/>
        <w:rPr>
          <w:rFonts w:ascii="Arial" w:hAnsi="Arial" w:cs="Arial"/>
          <w:sz w:val="24"/>
          <w:szCs w:val="24"/>
        </w:rPr>
      </w:pPr>
      <w:r>
        <w:rPr>
          <w:rFonts w:ascii="Arial" w:hAnsi="Arial" w:cs="Arial"/>
          <w:sz w:val="24"/>
          <w:szCs w:val="24"/>
        </w:rPr>
        <w:tab/>
      </w:r>
      <w:r w:rsidRPr="00D14461">
        <w:rPr>
          <w:rFonts w:ascii="Arial" w:hAnsi="Arial" w:cs="Arial"/>
          <w:sz w:val="24"/>
          <w:szCs w:val="24"/>
          <w:lang w:val="es-EC"/>
        </w:rPr>
        <w:t xml:space="preserve">La adopción de esta Convención refleja una preocupación uniforme en todo el hemisferio sobre la gravedad del problema de la violencia contra la mujer, su relación con la discriminación históricamente sufrida y la necesidad de </w:t>
      </w:r>
      <w:r w:rsidRPr="00D14461">
        <w:rPr>
          <w:rFonts w:ascii="Arial" w:hAnsi="Arial" w:cs="Arial"/>
          <w:i/>
          <w:sz w:val="24"/>
          <w:szCs w:val="24"/>
          <w:lang w:val="es-EC"/>
        </w:rPr>
        <w:t>adoptar estrategias integrales</w:t>
      </w:r>
      <w:r w:rsidRPr="00D14461">
        <w:rPr>
          <w:rFonts w:ascii="Arial" w:hAnsi="Arial" w:cs="Arial"/>
          <w:sz w:val="24"/>
          <w:szCs w:val="24"/>
          <w:lang w:val="es-EC"/>
        </w:rPr>
        <w:t xml:space="preserve"> para prevenirla, sancionarla y erradicarla</w:t>
      </w:r>
      <w:r>
        <w:rPr>
          <w:rFonts w:ascii="Arial" w:hAnsi="Arial" w:cs="Arial"/>
          <w:sz w:val="24"/>
          <w:szCs w:val="24"/>
          <w:lang w:val="es-EC"/>
        </w:rPr>
        <w:t>.</w:t>
      </w:r>
      <w:r>
        <w:rPr>
          <w:rStyle w:val="Refdenotaalpie"/>
          <w:rFonts w:ascii="Arial" w:hAnsi="Arial" w:cs="Arial"/>
          <w:sz w:val="24"/>
          <w:szCs w:val="24"/>
          <w:lang w:val="es-EC"/>
        </w:rPr>
        <w:footnoteReference w:id="10"/>
      </w:r>
    </w:p>
    <w:p w:rsidR="0050434F" w:rsidRDefault="0050434F" w:rsidP="00C80EAC">
      <w:pPr>
        <w:tabs>
          <w:tab w:val="left" w:pos="1701"/>
        </w:tabs>
        <w:spacing w:line="480" w:lineRule="auto"/>
        <w:jc w:val="both"/>
        <w:rPr>
          <w:rFonts w:ascii="Times New Roman" w:hAnsi="Times New Roman" w:cs="Times New Roman"/>
          <w:sz w:val="24"/>
          <w:szCs w:val="24"/>
        </w:rPr>
      </w:pPr>
    </w:p>
    <w:p w:rsidR="00AE31B2" w:rsidRDefault="00B144D5" w:rsidP="00C80EAC">
      <w:pPr>
        <w:tabs>
          <w:tab w:val="left" w:pos="1701"/>
        </w:tabs>
        <w:spacing w:line="480" w:lineRule="auto"/>
        <w:jc w:val="both"/>
        <w:rPr>
          <w:rFonts w:ascii="Arial" w:hAnsi="Arial" w:cs="Arial"/>
          <w:sz w:val="24"/>
          <w:szCs w:val="24"/>
        </w:rPr>
      </w:pPr>
      <w:r>
        <w:rPr>
          <w:rFonts w:ascii="Times New Roman" w:hAnsi="Times New Roman" w:cs="Times New Roman"/>
          <w:sz w:val="24"/>
          <w:szCs w:val="24"/>
        </w:rPr>
        <w:tab/>
      </w:r>
      <w:r w:rsidR="00AE31B2">
        <w:rPr>
          <w:rFonts w:ascii="Arial" w:hAnsi="Arial" w:cs="Arial"/>
          <w:sz w:val="24"/>
          <w:szCs w:val="24"/>
        </w:rPr>
        <w:t xml:space="preserve">La legislación </w:t>
      </w:r>
      <w:r w:rsidR="00AE31B2" w:rsidRPr="00AE31B2">
        <w:rPr>
          <w:rFonts w:ascii="Arial" w:hAnsi="Arial" w:cs="Arial"/>
          <w:sz w:val="24"/>
          <w:szCs w:val="24"/>
        </w:rPr>
        <w:t xml:space="preserve">en la materia en </w:t>
      </w:r>
      <w:r w:rsidR="007351A7" w:rsidRPr="00AE31B2">
        <w:rPr>
          <w:rFonts w:ascii="Arial" w:hAnsi="Arial" w:cs="Arial"/>
          <w:sz w:val="24"/>
          <w:szCs w:val="24"/>
        </w:rPr>
        <w:t>la Nación</w:t>
      </w:r>
      <w:r w:rsidR="000466FC">
        <w:rPr>
          <w:rFonts w:ascii="Arial" w:hAnsi="Arial" w:cs="Arial"/>
          <w:sz w:val="24"/>
          <w:szCs w:val="24"/>
        </w:rPr>
        <w:t>,</w:t>
      </w:r>
      <w:r w:rsidR="00C13475">
        <w:rPr>
          <w:rFonts w:ascii="Arial" w:hAnsi="Arial" w:cs="Arial"/>
          <w:sz w:val="24"/>
          <w:szCs w:val="24"/>
        </w:rPr>
        <w:t xml:space="preserve">es </w:t>
      </w:r>
      <w:r w:rsidR="007351A7" w:rsidRPr="00AE31B2">
        <w:rPr>
          <w:rFonts w:ascii="Arial" w:hAnsi="Arial" w:cs="Arial"/>
          <w:sz w:val="24"/>
          <w:szCs w:val="24"/>
        </w:rPr>
        <w:t>la Número 26</w:t>
      </w:r>
      <w:r w:rsidR="00C13475">
        <w:rPr>
          <w:rFonts w:ascii="Arial" w:hAnsi="Arial" w:cs="Arial"/>
          <w:sz w:val="24"/>
          <w:szCs w:val="24"/>
        </w:rPr>
        <w:t>.</w:t>
      </w:r>
      <w:r w:rsidR="007351A7" w:rsidRPr="00AE31B2">
        <w:rPr>
          <w:rFonts w:ascii="Arial" w:hAnsi="Arial" w:cs="Arial"/>
          <w:sz w:val="24"/>
          <w:szCs w:val="24"/>
        </w:rPr>
        <w:t>485 (del año 2009)</w:t>
      </w:r>
      <w:r w:rsidR="007351A7">
        <w:rPr>
          <w:rFonts w:ascii="Arial" w:hAnsi="Arial" w:cs="Arial"/>
          <w:sz w:val="24"/>
          <w:szCs w:val="24"/>
        </w:rPr>
        <w:t xml:space="preserve"> y en </w:t>
      </w:r>
      <w:r w:rsidR="00AE31B2" w:rsidRPr="00AE31B2">
        <w:rPr>
          <w:rFonts w:ascii="Arial" w:hAnsi="Arial" w:cs="Arial"/>
          <w:sz w:val="24"/>
          <w:szCs w:val="24"/>
        </w:rPr>
        <w:t>la Provincia</w:t>
      </w:r>
      <w:r w:rsidR="00AE31B2">
        <w:rPr>
          <w:rFonts w:ascii="Arial" w:hAnsi="Arial" w:cs="Arial"/>
          <w:sz w:val="24"/>
          <w:szCs w:val="24"/>
        </w:rPr>
        <w:t xml:space="preserve"> de Buenos Aires</w:t>
      </w:r>
      <w:r w:rsidR="00AE31B2" w:rsidRPr="00AE31B2">
        <w:rPr>
          <w:rFonts w:ascii="Arial" w:hAnsi="Arial" w:cs="Arial"/>
          <w:sz w:val="24"/>
          <w:szCs w:val="24"/>
        </w:rPr>
        <w:t>,</w:t>
      </w:r>
      <w:r w:rsidR="00AE31B2">
        <w:rPr>
          <w:rFonts w:ascii="Arial" w:hAnsi="Arial" w:cs="Arial"/>
          <w:sz w:val="24"/>
          <w:szCs w:val="24"/>
        </w:rPr>
        <w:t xml:space="preserve"> lleva el número</w:t>
      </w:r>
      <w:r w:rsidR="00AE31B2" w:rsidRPr="00AE31B2">
        <w:rPr>
          <w:rFonts w:ascii="Arial" w:hAnsi="Arial" w:cs="Arial"/>
          <w:sz w:val="24"/>
          <w:szCs w:val="24"/>
        </w:rPr>
        <w:t xml:space="preserve"> 12</w:t>
      </w:r>
      <w:r w:rsidR="00AE31B2">
        <w:rPr>
          <w:rFonts w:ascii="Arial" w:hAnsi="Arial" w:cs="Arial"/>
          <w:sz w:val="24"/>
          <w:szCs w:val="24"/>
        </w:rPr>
        <w:t>.</w:t>
      </w:r>
      <w:r w:rsidR="00AE31B2" w:rsidRPr="00AE31B2">
        <w:rPr>
          <w:rFonts w:ascii="Arial" w:hAnsi="Arial" w:cs="Arial"/>
          <w:sz w:val="24"/>
          <w:szCs w:val="24"/>
        </w:rPr>
        <w:t>569 (del año 2001, modificada por las leyes 14</w:t>
      </w:r>
      <w:r w:rsidR="00AE31B2">
        <w:rPr>
          <w:rFonts w:ascii="Arial" w:hAnsi="Arial" w:cs="Arial"/>
          <w:sz w:val="24"/>
          <w:szCs w:val="24"/>
        </w:rPr>
        <w:t>.</w:t>
      </w:r>
      <w:r w:rsidR="00AE31B2" w:rsidRPr="00AE31B2">
        <w:rPr>
          <w:rFonts w:ascii="Arial" w:hAnsi="Arial" w:cs="Arial"/>
          <w:sz w:val="24"/>
          <w:szCs w:val="24"/>
        </w:rPr>
        <w:t>509 y 14</w:t>
      </w:r>
      <w:r w:rsidR="00AE31B2">
        <w:rPr>
          <w:rFonts w:ascii="Arial" w:hAnsi="Arial" w:cs="Arial"/>
          <w:sz w:val="24"/>
          <w:szCs w:val="24"/>
        </w:rPr>
        <w:t>.</w:t>
      </w:r>
      <w:r w:rsidR="00AE31B2" w:rsidRPr="00AE31B2">
        <w:rPr>
          <w:rFonts w:ascii="Arial" w:hAnsi="Arial" w:cs="Arial"/>
          <w:sz w:val="24"/>
          <w:szCs w:val="24"/>
        </w:rPr>
        <w:t>657)</w:t>
      </w:r>
      <w:r w:rsidR="007351A7">
        <w:rPr>
          <w:rFonts w:ascii="Arial" w:hAnsi="Arial" w:cs="Arial"/>
          <w:sz w:val="24"/>
          <w:szCs w:val="24"/>
        </w:rPr>
        <w:t>.</w:t>
      </w:r>
      <w:r w:rsidR="00C13475">
        <w:rPr>
          <w:rFonts w:ascii="Arial" w:hAnsi="Arial" w:cs="Arial"/>
          <w:sz w:val="24"/>
          <w:szCs w:val="24"/>
        </w:rPr>
        <w:t>(</w:t>
      </w:r>
      <w:r w:rsidR="00B378C2">
        <w:rPr>
          <w:rFonts w:ascii="Arial" w:hAnsi="Arial" w:cs="Arial"/>
          <w:sz w:val="24"/>
          <w:szCs w:val="24"/>
        </w:rPr>
        <w:t>No he visto un correlato legislativ</w:t>
      </w:r>
      <w:r w:rsidR="00C13475">
        <w:rPr>
          <w:rFonts w:ascii="Arial" w:hAnsi="Arial" w:cs="Arial"/>
          <w:sz w:val="24"/>
          <w:szCs w:val="24"/>
        </w:rPr>
        <w:t>o en la Provincia de Corrientes).</w:t>
      </w:r>
    </w:p>
    <w:p w:rsidR="00CB49FC" w:rsidRPr="00C13475" w:rsidRDefault="00CB49FC" w:rsidP="00C80EAC">
      <w:pPr>
        <w:tabs>
          <w:tab w:val="left" w:pos="1701"/>
        </w:tabs>
        <w:spacing w:line="480" w:lineRule="auto"/>
        <w:jc w:val="both"/>
        <w:rPr>
          <w:rFonts w:ascii="Arial" w:hAnsi="Arial" w:cs="Arial"/>
          <w:color w:val="FF0000"/>
          <w:sz w:val="24"/>
          <w:szCs w:val="24"/>
        </w:rPr>
      </w:pPr>
    </w:p>
    <w:p w:rsidR="00AE31B2" w:rsidRPr="00AE31B2" w:rsidRDefault="007351A7" w:rsidP="00C80EAC">
      <w:pPr>
        <w:tabs>
          <w:tab w:val="left" w:pos="1701"/>
        </w:tabs>
        <w:spacing w:line="480" w:lineRule="auto"/>
        <w:jc w:val="both"/>
        <w:rPr>
          <w:rFonts w:ascii="Arial" w:hAnsi="Arial" w:cs="Arial"/>
          <w:sz w:val="24"/>
          <w:szCs w:val="24"/>
        </w:rPr>
      </w:pPr>
      <w:r>
        <w:rPr>
          <w:rFonts w:ascii="Arial" w:hAnsi="Arial" w:cs="Arial"/>
          <w:b/>
          <w:i/>
          <w:sz w:val="24"/>
          <w:szCs w:val="24"/>
        </w:rPr>
        <w:t>RESPONSABILIDAD CIVIL POR DAÑOS DEL ESTADO</w:t>
      </w:r>
    </w:p>
    <w:p w:rsidR="001924E7" w:rsidRDefault="006C57C4" w:rsidP="00C80EAC">
      <w:pPr>
        <w:tabs>
          <w:tab w:val="left" w:pos="1701"/>
        </w:tabs>
        <w:spacing w:line="480" w:lineRule="auto"/>
        <w:jc w:val="both"/>
        <w:rPr>
          <w:rFonts w:ascii="Arial" w:hAnsi="Arial" w:cs="Arial"/>
          <w:iCs/>
          <w:sz w:val="24"/>
          <w:szCs w:val="24"/>
        </w:rPr>
      </w:pPr>
      <w:r>
        <w:rPr>
          <w:rFonts w:ascii="Arial" w:hAnsi="Arial" w:cs="Arial"/>
          <w:sz w:val="24"/>
          <w:szCs w:val="24"/>
        </w:rPr>
        <w:t>E</w:t>
      </w:r>
      <w:r w:rsidR="00AE31B2" w:rsidRPr="006C57C4">
        <w:rPr>
          <w:rFonts w:ascii="Arial" w:hAnsi="Arial" w:cs="Arial"/>
          <w:iCs/>
          <w:sz w:val="24"/>
          <w:szCs w:val="24"/>
        </w:rPr>
        <w:t>l Estado es quien vela por el interés público, por lo tanto investir de responsabilidad civil al Estado (en cualquiera de los estadios que conforman un país federal como el nuestro) por el accionar entre privados, requiere de una serie de requisitos más exigentesque la responsabilidad privada.</w:t>
      </w:r>
    </w:p>
    <w:p w:rsidR="001924E7" w:rsidRDefault="001924E7" w:rsidP="00C80EAC">
      <w:pPr>
        <w:tabs>
          <w:tab w:val="left" w:pos="1701"/>
        </w:tabs>
        <w:spacing w:line="480" w:lineRule="auto"/>
        <w:jc w:val="both"/>
        <w:rPr>
          <w:rFonts w:ascii="Arial" w:hAnsi="Arial" w:cs="Arial"/>
          <w:iCs/>
          <w:sz w:val="24"/>
          <w:szCs w:val="24"/>
        </w:rPr>
      </w:pPr>
    </w:p>
    <w:p w:rsidR="006F217B" w:rsidRDefault="001924E7" w:rsidP="00C80EAC">
      <w:pPr>
        <w:tabs>
          <w:tab w:val="left" w:pos="1701"/>
        </w:tabs>
        <w:spacing w:line="480" w:lineRule="auto"/>
        <w:rPr>
          <w:rFonts w:ascii="Arial" w:hAnsi="Arial" w:cs="Arial"/>
          <w:iCs/>
          <w:sz w:val="24"/>
          <w:szCs w:val="24"/>
        </w:rPr>
      </w:pPr>
      <w:r>
        <w:rPr>
          <w:rFonts w:ascii="Arial" w:hAnsi="Arial" w:cs="Arial"/>
          <w:iCs/>
          <w:sz w:val="24"/>
          <w:szCs w:val="24"/>
        </w:rPr>
        <w:tab/>
        <w:t xml:space="preserve">La responsabilidad civil del Estado </w:t>
      </w:r>
      <w:r w:rsidR="007D0037">
        <w:rPr>
          <w:rFonts w:ascii="Arial" w:hAnsi="Arial" w:cs="Arial"/>
          <w:iCs/>
          <w:sz w:val="24"/>
          <w:szCs w:val="24"/>
        </w:rPr>
        <w:t>por falta de servicio resulta más clara cuando existe un mandato legal expreso de hacer</w:t>
      </w:r>
      <w:r w:rsidR="00462E76">
        <w:rPr>
          <w:rFonts w:ascii="Arial" w:hAnsi="Arial" w:cs="Arial"/>
          <w:iCs/>
          <w:sz w:val="24"/>
          <w:szCs w:val="24"/>
        </w:rPr>
        <w:t xml:space="preserve">. </w:t>
      </w:r>
    </w:p>
    <w:p w:rsidR="006F217B" w:rsidRDefault="006F217B" w:rsidP="00C80EAC">
      <w:pPr>
        <w:tabs>
          <w:tab w:val="left" w:pos="1701"/>
        </w:tabs>
        <w:spacing w:line="480" w:lineRule="auto"/>
        <w:rPr>
          <w:rFonts w:ascii="Arial" w:hAnsi="Arial" w:cs="Arial"/>
          <w:iCs/>
          <w:sz w:val="24"/>
          <w:szCs w:val="24"/>
        </w:rPr>
      </w:pPr>
    </w:p>
    <w:p w:rsidR="007D0037" w:rsidRDefault="006F217B" w:rsidP="00C80EAC">
      <w:pPr>
        <w:tabs>
          <w:tab w:val="left" w:pos="1701"/>
        </w:tabs>
        <w:spacing w:line="480" w:lineRule="auto"/>
        <w:rPr>
          <w:rFonts w:ascii="Arial" w:hAnsi="Arial" w:cs="Arial"/>
          <w:sz w:val="24"/>
          <w:szCs w:val="24"/>
        </w:rPr>
      </w:pPr>
      <w:r>
        <w:rPr>
          <w:rFonts w:ascii="Arial" w:hAnsi="Arial" w:cs="Arial"/>
          <w:iCs/>
          <w:sz w:val="24"/>
          <w:szCs w:val="24"/>
        </w:rPr>
        <w:tab/>
      </w:r>
      <w:r w:rsidR="00462E76">
        <w:rPr>
          <w:rFonts w:ascii="Arial" w:hAnsi="Arial" w:cs="Arial"/>
          <w:iCs/>
          <w:sz w:val="24"/>
          <w:szCs w:val="24"/>
        </w:rPr>
        <w:t>E</w:t>
      </w:r>
      <w:r w:rsidR="007D0037">
        <w:rPr>
          <w:rFonts w:ascii="Arial" w:hAnsi="Arial" w:cs="Arial"/>
          <w:iCs/>
          <w:sz w:val="24"/>
          <w:szCs w:val="24"/>
        </w:rPr>
        <w:t xml:space="preserve">l problema surge </w:t>
      </w:r>
      <w:r w:rsidR="00462E76">
        <w:rPr>
          <w:rFonts w:ascii="Arial" w:hAnsi="Arial" w:cs="Arial"/>
          <w:iCs/>
          <w:sz w:val="24"/>
          <w:szCs w:val="24"/>
        </w:rPr>
        <w:t xml:space="preserve">cuando </w:t>
      </w:r>
      <w:r w:rsidR="007D0037" w:rsidRPr="007D0037">
        <w:rPr>
          <w:rFonts w:ascii="Arial" w:hAnsi="Arial" w:cs="Arial"/>
          <w:sz w:val="24"/>
          <w:szCs w:val="24"/>
        </w:rPr>
        <w:t>el Estado está obligado a cumplir una serie de objetivos fijados por la ley sólo de un modo general e indeterminado, como propósitos a lograr en la mejor medida posible.</w:t>
      </w:r>
    </w:p>
    <w:p w:rsidR="007D0037" w:rsidRDefault="007D0037" w:rsidP="00C80EAC">
      <w:pPr>
        <w:tabs>
          <w:tab w:val="left" w:pos="1701"/>
        </w:tabs>
        <w:spacing w:line="480" w:lineRule="auto"/>
        <w:rPr>
          <w:rFonts w:ascii="Arial" w:hAnsi="Arial" w:cs="Arial"/>
          <w:sz w:val="24"/>
          <w:szCs w:val="24"/>
        </w:rPr>
      </w:pPr>
    </w:p>
    <w:p w:rsidR="007D0037" w:rsidRDefault="007D0037" w:rsidP="00C80EAC">
      <w:pPr>
        <w:tabs>
          <w:tab w:val="left" w:pos="1701"/>
        </w:tabs>
        <w:spacing w:line="480" w:lineRule="auto"/>
        <w:rPr>
          <w:rFonts w:ascii="Arial" w:hAnsi="Arial" w:cs="Arial"/>
          <w:sz w:val="24"/>
          <w:szCs w:val="24"/>
        </w:rPr>
      </w:pPr>
      <w:r>
        <w:rPr>
          <w:rFonts w:ascii="Arial" w:hAnsi="Arial" w:cs="Arial"/>
          <w:sz w:val="24"/>
          <w:szCs w:val="24"/>
        </w:rPr>
        <w:tab/>
        <w:t xml:space="preserve">La obligación genérica de seguridad surge del Código Civil y Comercial, </w:t>
      </w:r>
      <w:r w:rsidR="00040CA0">
        <w:rPr>
          <w:rFonts w:ascii="Arial" w:hAnsi="Arial" w:cs="Arial"/>
          <w:sz w:val="24"/>
          <w:szCs w:val="24"/>
        </w:rPr>
        <w:t>y constituye una obligación no de evitar todo daño</w:t>
      </w:r>
      <w:r w:rsidR="00462E76">
        <w:rPr>
          <w:rFonts w:ascii="Arial" w:hAnsi="Arial" w:cs="Arial"/>
          <w:sz w:val="24"/>
          <w:szCs w:val="24"/>
        </w:rPr>
        <w:t>,</w:t>
      </w:r>
      <w:r w:rsidR="00040CA0">
        <w:rPr>
          <w:rFonts w:ascii="Arial" w:hAnsi="Arial" w:cs="Arial"/>
          <w:sz w:val="24"/>
          <w:szCs w:val="24"/>
        </w:rPr>
        <w:t xml:space="preserve"> sino de una protección compatible con las libertades y razonable con la disposición de los medios de los que dispone.</w:t>
      </w:r>
    </w:p>
    <w:p w:rsidR="00C930A1" w:rsidRDefault="00C930A1" w:rsidP="00C80EAC">
      <w:pPr>
        <w:tabs>
          <w:tab w:val="left" w:pos="1701"/>
        </w:tabs>
        <w:spacing w:line="480" w:lineRule="auto"/>
        <w:rPr>
          <w:rFonts w:ascii="Arial" w:hAnsi="Arial" w:cs="Arial"/>
          <w:sz w:val="24"/>
          <w:szCs w:val="24"/>
        </w:rPr>
      </w:pPr>
    </w:p>
    <w:p w:rsidR="00C930A1" w:rsidRDefault="00C930A1" w:rsidP="00C80EAC">
      <w:pPr>
        <w:tabs>
          <w:tab w:val="left" w:pos="1701"/>
        </w:tabs>
        <w:spacing w:line="480" w:lineRule="auto"/>
        <w:rPr>
          <w:rFonts w:ascii="Arial" w:hAnsi="Arial" w:cs="Arial"/>
          <w:sz w:val="24"/>
          <w:szCs w:val="24"/>
        </w:rPr>
      </w:pPr>
      <w:r>
        <w:rPr>
          <w:rFonts w:ascii="Arial" w:hAnsi="Arial" w:cs="Arial"/>
          <w:sz w:val="24"/>
          <w:szCs w:val="24"/>
        </w:rPr>
        <w:tab/>
        <w:t>La responsabilidad extracontractual</w:t>
      </w:r>
      <w:r w:rsidR="00462E76">
        <w:rPr>
          <w:rFonts w:ascii="Arial" w:hAnsi="Arial" w:cs="Arial"/>
          <w:sz w:val="24"/>
          <w:szCs w:val="24"/>
        </w:rPr>
        <w:t xml:space="preserve"> del Estado, como la de toda responsabilidad por daño, </w:t>
      </w:r>
      <w:r>
        <w:rPr>
          <w:rFonts w:ascii="Arial" w:hAnsi="Arial" w:cs="Arial"/>
          <w:sz w:val="24"/>
          <w:szCs w:val="24"/>
        </w:rPr>
        <w:t>debe reunir los siguientes requisitos:</w:t>
      </w:r>
    </w:p>
    <w:p w:rsidR="00C930A1" w:rsidRPr="00C930A1" w:rsidRDefault="00C930A1" w:rsidP="00C80EAC">
      <w:pPr>
        <w:tabs>
          <w:tab w:val="left" w:pos="1701"/>
        </w:tabs>
        <w:spacing w:line="480" w:lineRule="auto"/>
        <w:jc w:val="both"/>
        <w:rPr>
          <w:rFonts w:ascii="Arial" w:hAnsi="Arial" w:cs="Arial"/>
          <w:iCs/>
          <w:sz w:val="24"/>
          <w:szCs w:val="24"/>
        </w:rPr>
      </w:pPr>
      <w:r w:rsidRPr="00C930A1">
        <w:rPr>
          <w:rFonts w:ascii="Arial" w:hAnsi="Arial" w:cs="Arial"/>
          <w:iCs/>
          <w:sz w:val="24"/>
          <w:szCs w:val="24"/>
        </w:rPr>
        <w:t>1)daño</w:t>
      </w:r>
      <w:r w:rsidR="00635591">
        <w:rPr>
          <w:rFonts w:ascii="Arial" w:hAnsi="Arial" w:cs="Arial"/>
          <w:iCs/>
          <w:sz w:val="24"/>
          <w:szCs w:val="24"/>
        </w:rPr>
        <w:t>.</w:t>
      </w:r>
    </w:p>
    <w:p w:rsidR="00C930A1" w:rsidRPr="00C930A1" w:rsidRDefault="00C930A1" w:rsidP="00C80EAC">
      <w:pPr>
        <w:tabs>
          <w:tab w:val="left" w:pos="1701"/>
        </w:tabs>
        <w:spacing w:line="480" w:lineRule="auto"/>
        <w:jc w:val="both"/>
        <w:rPr>
          <w:rFonts w:ascii="Arial" w:hAnsi="Arial" w:cs="Arial"/>
          <w:iCs/>
          <w:sz w:val="24"/>
          <w:szCs w:val="24"/>
        </w:rPr>
      </w:pPr>
      <w:r w:rsidRPr="00C930A1">
        <w:rPr>
          <w:rFonts w:ascii="Arial" w:hAnsi="Arial" w:cs="Arial"/>
          <w:iCs/>
          <w:sz w:val="24"/>
          <w:szCs w:val="24"/>
        </w:rPr>
        <w:t>2) antijuridicidad, entendida como la contradicción de un hecho con el ordenamiento jurídico</w:t>
      </w:r>
      <w:r w:rsidR="00635591">
        <w:rPr>
          <w:rFonts w:ascii="Arial" w:hAnsi="Arial" w:cs="Arial"/>
          <w:iCs/>
          <w:sz w:val="24"/>
          <w:szCs w:val="24"/>
        </w:rPr>
        <w:t>,</w:t>
      </w:r>
      <w:r w:rsidRPr="00C930A1">
        <w:rPr>
          <w:rFonts w:ascii="Arial" w:hAnsi="Arial" w:cs="Arial"/>
          <w:iCs/>
          <w:sz w:val="24"/>
          <w:szCs w:val="24"/>
        </w:rPr>
        <w:t xml:space="preserve"> en violación al deber genérico de no dañar</w:t>
      </w:r>
      <w:r w:rsidR="00635591">
        <w:rPr>
          <w:rFonts w:ascii="Arial" w:hAnsi="Arial" w:cs="Arial"/>
          <w:iCs/>
          <w:sz w:val="24"/>
          <w:szCs w:val="24"/>
        </w:rPr>
        <w:t>.</w:t>
      </w:r>
    </w:p>
    <w:p w:rsidR="00C930A1" w:rsidRPr="00C930A1" w:rsidRDefault="00C930A1" w:rsidP="00C80EAC">
      <w:pPr>
        <w:tabs>
          <w:tab w:val="left" w:pos="1701"/>
        </w:tabs>
        <w:spacing w:line="480" w:lineRule="auto"/>
        <w:jc w:val="both"/>
        <w:rPr>
          <w:rFonts w:ascii="Arial" w:hAnsi="Arial" w:cs="Arial"/>
          <w:iCs/>
          <w:sz w:val="24"/>
          <w:szCs w:val="24"/>
        </w:rPr>
      </w:pPr>
      <w:r w:rsidRPr="00C930A1">
        <w:rPr>
          <w:rFonts w:ascii="Arial" w:hAnsi="Arial" w:cs="Arial"/>
          <w:iCs/>
          <w:sz w:val="24"/>
          <w:szCs w:val="24"/>
        </w:rPr>
        <w:t>3)  la relación de causalidad que enlace la acción u omisión con el resultado dañoso cuya reparación se reclama.</w:t>
      </w:r>
    </w:p>
    <w:p w:rsidR="00C930A1" w:rsidRDefault="00192F0B" w:rsidP="00C80EAC">
      <w:pPr>
        <w:tabs>
          <w:tab w:val="left" w:pos="1701"/>
        </w:tabs>
        <w:spacing w:line="480" w:lineRule="auto"/>
        <w:jc w:val="both"/>
        <w:rPr>
          <w:rFonts w:ascii="Arial" w:hAnsi="Arial" w:cs="Arial"/>
          <w:iCs/>
          <w:sz w:val="24"/>
          <w:szCs w:val="24"/>
        </w:rPr>
      </w:pPr>
      <w:r>
        <w:rPr>
          <w:rFonts w:ascii="Arial" w:hAnsi="Arial" w:cs="Arial"/>
          <w:iCs/>
          <w:sz w:val="24"/>
          <w:szCs w:val="24"/>
        </w:rPr>
        <w:lastRenderedPageBreak/>
        <w:t>4</w:t>
      </w:r>
      <w:r w:rsidR="00C930A1" w:rsidRPr="00C930A1">
        <w:rPr>
          <w:rFonts w:ascii="Arial" w:hAnsi="Arial" w:cs="Arial"/>
          <w:iCs/>
          <w:sz w:val="24"/>
          <w:szCs w:val="24"/>
        </w:rPr>
        <w:t>) el  factor de atribución de carácter subjetivo u objetivo que permita sindicar al responsable</w:t>
      </w:r>
      <w:r w:rsidR="00635591">
        <w:rPr>
          <w:rFonts w:ascii="Arial" w:hAnsi="Arial" w:cs="Arial"/>
          <w:iCs/>
          <w:sz w:val="24"/>
          <w:szCs w:val="24"/>
        </w:rPr>
        <w:t>.</w:t>
      </w:r>
    </w:p>
    <w:p w:rsidR="00192F0B" w:rsidRDefault="00192F0B" w:rsidP="00C80EAC">
      <w:pPr>
        <w:tabs>
          <w:tab w:val="left" w:pos="1701"/>
        </w:tabs>
        <w:spacing w:line="480" w:lineRule="auto"/>
        <w:jc w:val="both"/>
        <w:rPr>
          <w:rFonts w:ascii="Arial" w:hAnsi="Arial" w:cs="Arial"/>
          <w:iCs/>
          <w:sz w:val="24"/>
          <w:szCs w:val="24"/>
        </w:rPr>
      </w:pPr>
    </w:p>
    <w:p w:rsidR="00D12C91" w:rsidRDefault="00192F0B" w:rsidP="00C80EAC">
      <w:pPr>
        <w:tabs>
          <w:tab w:val="left" w:pos="1701"/>
        </w:tabs>
        <w:spacing w:line="480" w:lineRule="auto"/>
        <w:jc w:val="both"/>
        <w:rPr>
          <w:rFonts w:ascii="Arial" w:hAnsi="Arial" w:cs="Arial"/>
          <w:iCs/>
          <w:sz w:val="24"/>
          <w:szCs w:val="24"/>
        </w:rPr>
      </w:pPr>
      <w:r>
        <w:rPr>
          <w:rFonts w:ascii="Arial" w:hAnsi="Arial" w:cs="Arial"/>
          <w:iCs/>
          <w:sz w:val="24"/>
          <w:szCs w:val="24"/>
        </w:rPr>
        <w:tab/>
        <w:t>Entiendo que no se corresponde un análisis de cada uno de los puntos,</w:t>
      </w:r>
      <w:r w:rsidR="00462E76">
        <w:rPr>
          <w:rFonts w:ascii="Arial" w:hAnsi="Arial" w:cs="Arial"/>
          <w:iCs/>
          <w:sz w:val="24"/>
          <w:szCs w:val="24"/>
        </w:rPr>
        <w:t xml:space="preserve"> sin embargo</w:t>
      </w:r>
      <w:r>
        <w:rPr>
          <w:rFonts w:ascii="Arial" w:hAnsi="Arial" w:cs="Arial"/>
          <w:iCs/>
          <w:sz w:val="24"/>
          <w:szCs w:val="24"/>
        </w:rPr>
        <w:t xml:space="preserve"> quisiera detenerme en</w:t>
      </w:r>
      <w:r w:rsidR="00462E76">
        <w:rPr>
          <w:rFonts w:ascii="Arial" w:hAnsi="Arial" w:cs="Arial"/>
          <w:iCs/>
          <w:sz w:val="24"/>
          <w:szCs w:val="24"/>
        </w:rPr>
        <w:t xml:space="preserve"> uno de ellos: </w:t>
      </w:r>
      <w:r>
        <w:rPr>
          <w:rFonts w:ascii="Arial" w:hAnsi="Arial" w:cs="Arial"/>
          <w:iCs/>
          <w:sz w:val="24"/>
          <w:szCs w:val="24"/>
        </w:rPr>
        <w:t>el factor de atribución</w:t>
      </w:r>
      <w:r w:rsidR="00D12C91">
        <w:rPr>
          <w:rFonts w:ascii="Arial" w:hAnsi="Arial" w:cs="Arial"/>
          <w:iCs/>
          <w:sz w:val="24"/>
          <w:szCs w:val="24"/>
        </w:rPr>
        <w:t>.</w:t>
      </w:r>
    </w:p>
    <w:p w:rsidR="00D12C91" w:rsidRDefault="00D12C91" w:rsidP="00C80EAC">
      <w:pPr>
        <w:tabs>
          <w:tab w:val="left" w:pos="1701"/>
        </w:tabs>
        <w:spacing w:line="480" w:lineRule="auto"/>
        <w:jc w:val="both"/>
        <w:rPr>
          <w:rFonts w:ascii="Arial" w:hAnsi="Arial" w:cs="Arial"/>
          <w:iCs/>
          <w:sz w:val="24"/>
          <w:szCs w:val="24"/>
        </w:rPr>
      </w:pPr>
    </w:p>
    <w:p w:rsidR="00192F0B" w:rsidRDefault="00D12C91" w:rsidP="00C80EAC">
      <w:pPr>
        <w:tabs>
          <w:tab w:val="left" w:pos="1701"/>
        </w:tabs>
        <w:spacing w:line="480" w:lineRule="auto"/>
        <w:jc w:val="both"/>
        <w:rPr>
          <w:rFonts w:ascii="Arial" w:hAnsi="Arial" w:cs="Arial"/>
          <w:i/>
          <w:iCs/>
          <w:sz w:val="24"/>
          <w:szCs w:val="24"/>
        </w:rPr>
      </w:pPr>
      <w:r>
        <w:rPr>
          <w:rFonts w:ascii="Arial" w:hAnsi="Arial" w:cs="Arial"/>
          <w:iCs/>
          <w:sz w:val="24"/>
          <w:szCs w:val="24"/>
        </w:rPr>
        <w:tab/>
        <w:t>Al respecto,</w:t>
      </w:r>
      <w:r w:rsidR="00192F0B">
        <w:rPr>
          <w:rFonts w:ascii="Arial" w:hAnsi="Arial" w:cs="Arial"/>
          <w:iCs/>
          <w:sz w:val="24"/>
          <w:szCs w:val="24"/>
        </w:rPr>
        <w:t xml:space="preserve"> es doctrina de nuestro máximo tribunal nacional</w:t>
      </w:r>
      <w:r w:rsidR="00462E76">
        <w:rPr>
          <w:rFonts w:ascii="Arial" w:hAnsi="Arial" w:cs="Arial"/>
          <w:iCs/>
          <w:sz w:val="24"/>
          <w:szCs w:val="24"/>
        </w:rPr>
        <w:t xml:space="preserve"> que</w:t>
      </w:r>
      <w:r w:rsidR="0000100C">
        <w:rPr>
          <w:rFonts w:ascii="Arial" w:hAnsi="Arial" w:cs="Arial"/>
          <w:iCs/>
          <w:sz w:val="24"/>
          <w:szCs w:val="24"/>
        </w:rPr>
        <w:t xml:space="preserve"> dice</w:t>
      </w:r>
      <w:r w:rsidR="00192F0B">
        <w:rPr>
          <w:rFonts w:ascii="Arial" w:hAnsi="Arial" w:cs="Arial"/>
          <w:iCs/>
          <w:sz w:val="24"/>
          <w:szCs w:val="24"/>
        </w:rPr>
        <w:t xml:space="preserve">: </w:t>
      </w:r>
      <w:r w:rsidR="00192F0B" w:rsidRPr="00192F0B">
        <w:rPr>
          <w:rFonts w:ascii="Arial" w:hAnsi="Arial" w:cs="Arial"/>
          <w:iCs/>
          <w:sz w:val="24"/>
          <w:szCs w:val="24"/>
        </w:rPr>
        <w:t xml:space="preserve">“…no debe formularse un juicio sobre la conducta de los agentes sino sobre la prestación del servicio, por lo cual la responsabilidad involucrada no es subjetiva, sino objetiva. Por otra parte, esa responsabilidad directa y objetiva entraña una apreciación en concreto que </w:t>
      </w:r>
      <w:r w:rsidR="00192F0B" w:rsidRPr="00192F0B">
        <w:rPr>
          <w:rFonts w:ascii="Arial" w:hAnsi="Arial" w:cs="Arial"/>
          <w:i/>
          <w:iCs/>
          <w:sz w:val="24"/>
          <w:szCs w:val="24"/>
        </w:rPr>
        <w:t>toma en cuenta la naturaleza de la actividad, los medios de que dispone el servicio, el lazo que une a la víctima con el servicio y el grado de previsibilidad del daño</w:t>
      </w:r>
      <w:r w:rsidR="00192F0B">
        <w:rPr>
          <w:rStyle w:val="Refdenotaalpie"/>
          <w:rFonts w:ascii="Arial" w:hAnsi="Arial" w:cs="Arial"/>
          <w:i/>
          <w:iCs/>
          <w:sz w:val="24"/>
          <w:szCs w:val="24"/>
        </w:rPr>
        <w:footnoteReference w:id="11"/>
      </w:r>
      <w:r w:rsidR="00635591">
        <w:rPr>
          <w:rFonts w:ascii="Arial" w:hAnsi="Arial" w:cs="Arial"/>
          <w:i/>
          <w:iCs/>
          <w:sz w:val="24"/>
          <w:szCs w:val="24"/>
        </w:rPr>
        <w:t>.</w:t>
      </w:r>
    </w:p>
    <w:p w:rsidR="00D12C91" w:rsidRDefault="00192F0B" w:rsidP="00C80EAC">
      <w:pPr>
        <w:tabs>
          <w:tab w:val="left" w:pos="1701"/>
        </w:tabs>
        <w:spacing w:line="480" w:lineRule="auto"/>
        <w:jc w:val="both"/>
        <w:rPr>
          <w:rFonts w:ascii="Arial" w:hAnsi="Arial" w:cs="Arial"/>
          <w:i/>
          <w:iCs/>
          <w:sz w:val="24"/>
          <w:szCs w:val="24"/>
        </w:rPr>
      </w:pPr>
      <w:r>
        <w:rPr>
          <w:rFonts w:ascii="Arial" w:hAnsi="Arial" w:cs="Arial"/>
          <w:i/>
          <w:iCs/>
          <w:sz w:val="24"/>
          <w:szCs w:val="24"/>
        </w:rPr>
        <w:tab/>
      </w:r>
      <w:r>
        <w:rPr>
          <w:rFonts w:ascii="Arial" w:hAnsi="Arial" w:cs="Arial"/>
          <w:i/>
          <w:iCs/>
          <w:sz w:val="24"/>
          <w:szCs w:val="24"/>
        </w:rPr>
        <w:tab/>
      </w:r>
    </w:p>
    <w:p w:rsidR="00192F0B" w:rsidRPr="00192F0B" w:rsidRDefault="00D12C91" w:rsidP="00C80EAC">
      <w:pPr>
        <w:tabs>
          <w:tab w:val="left" w:pos="1701"/>
        </w:tabs>
        <w:spacing w:line="480" w:lineRule="auto"/>
        <w:jc w:val="both"/>
        <w:rPr>
          <w:rFonts w:ascii="Arial" w:hAnsi="Arial" w:cs="Arial"/>
          <w:sz w:val="24"/>
          <w:szCs w:val="24"/>
        </w:rPr>
      </w:pPr>
      <w:r>
        <w:rPr>
          <w:rFonts w:ascii="Arial" w:hAnsi="Arial" w:cs="Arial"/>
          <w:i/>
          <w:iCs/>
          <w:sz w:val="24"/>
          <w:szCs w:val="24"/>
        </w:rPr>
        <w:tab/>
      </w:r>
      <w:r w:rsidR="00192F0B" w:rsidRPr="00192F0B">
        <w:rPr>
          <w:rFonts w:ascii="Arial" w:hAnsi="Arial" w:cs="Arial"/>
          <w:sz w:val="24"/>
          <w:szCs w:val="24"/>
        </w:rPr>
        <w:t xml:space="preserve">Esa responsabilidad directa basada en la falta de servicio y definida por esta Corte como una violación o anormalidad frente a las obligaciones del servicio regular, entraña una apreciación en concreto que toma en cuenta la naturaleza de la actividad, los medios de que dispone el servicio, el lazo que une a la víctima con el servicio y el grado de previsibilidad del daño (Fallos: 321:1124). Dicho con otras palabras, no se trata de un juicio sobre la </w:t>
      </w:r>
      <w:r w:rsidR="00192F0B" w:rsidRPr="00192F0B">
        <w:rPr>
          <w:rFonts w:ascii="Arial" w:hAnsi="Arial" w:cs="Arial"/>
          <w:sz w:val="24"/>
          <w:szCs w:val="24"/>
        </w:rPr>
        <w:lastRenderedPageBreak/>
        <w:t>conducta de los agentes sino sobre la prestación del servicio y, por ello, la responsabilidad involucrada no es subjetiva, sino objetiva.</w:t>
      </w:r>
      <w:r w:rsidR="00192F0B">
        <w:rPr>
          <w:rStyle w:val="Refdenotaalpie"/>
          <w:rFonts w:ascii="Arial" w:hAnsi="Arial" w:cs="Arial"/>
          <w:sz w:val="24"/>
          <w:szCs w:val="24"/>
        </w:rPr>
        <w:footnoteReference w:id="12"/>
      </w:r>
    </w:p>
    <w:p w:rsidR="00192F0B" w:rsidRDefault="00192F0B" w:rsidP="00C80EAC">
      <w:pPr>
        <w:tabs>
          <w:tab w:val="left" w:pos="1701"/>
        </w:tabs>
        <w:spacing w:line="480" w:lineRule="auto"/>
        <w:jc w:val="both"/>
        <w:rPr>
          <w:rFonts w:ascii="Times New Roman" w:hAnsi="Times New Roman" w:cs="Times New Roman"/>
          <w:iCs/>
          <w:sz w:val="24"/>
          <w:szCs w:val="24"/>
        </w:rPr>
      </w:pPr>
    </w:p>
    <w:p w:rsidR="005C43A4" w:rsidRDefault="00D12C91" w:rsidP="00C80EAC">
      <w:pPr>
        <w:tabs>
          <w:tab w:val="left" w:pos="1701"/>
        </w:tabs>
        <w:spacing w:line="480" w:lineRule="auto"/>
        <w:jc w:val="both"/>
        <w:rPr>
          <w:rFonts w:ascii="Arial" w:hAnsi="Arial" w:cs="Arial"/>
          <w:iCs/>
          <w:sz w:val="24"/>
          <w:szCs w:val="24"/>
        </w:rPr>
      </w:pPr>
      <w:r w:rsidRPr="00D12C91">
        <w:rPr>
          <w:rFonts w:ascii="Arial" w:hAnsi="Arial" w:cs="Arial"/>
          <w:iCs/>
          <w:sz w:val="24"/>
          <w:szCs w:val="24"/>
        </w:rPr>
        <w:tab/>
        <w:t>De modo que</w:t>
      </w:r>
      <w:r w:rsidR="00462E76">
        <w:rPr>
          <w:rFonts w:ascii="Arial" w:hAnsi="Arial" w:cs="Arial"/>
          <w:iCs/>
          <w:sz w:val="24"/>
          <w:szCs w:val="24"/>
        </w:rPr>
        <w:t>, conforme a ello,</w:t>
      </w:r>
      <w:r w:rsidRPr="00D12C91">
        <w:rPr>
          <w:rFonts w:ascii="Arial" w:hAnsi="Arial" w:cs="Arial"/>
          <w:iCs/>
          <w:sz w:val="24"/>
          <w:szCs w:val="24"/>
        </w:rPr>
        <w:t xml:space="preserve"> para apreciar </w:t>
      </w:r>
      <w:r>
        <w:rPr>
          <w:rFonts w:ascii="Arial" w:hAnsi="Arial" w:cs="Arial"/>
          <w:iCs/>
          <w:sz w:val="24"/>
          <w:szCs w:val="24"/>
        </w:rPr>
        <w:t>la responsabilidad extracontractual del Estado</w:t>
      </w:r>
      <w:r w:rsidR="00514D2C">
        <w:rPr>
          <w:rFonts w:ascii="Arial" w:hAnsi="Arial" w:cs="Arial"/>
          <w:iCs/>
          <w:sz w:val="24"/>
          <w:szCs w:val="24"/>
        </w:rPr>
        <w:t>, deberá apreciarse en concreto:</w:t>
      </w:r>
    </w:p>
    <w:p w:rsidR="005C43A4" w:rsidRDefault="005C43A4" w:rsidP="00C80EAC">
      <w:pPr>
        <w:tabs>
          <w:tab w:val="left" w:pos="1701"/>
        </w:tabs>
        <w:spacing w:line="480" w:lineRule="auto"/>
        <w:jc w:val="both"/>
        <w:rPr>
          <w:rFonts w:ascii="Arial" w:hAnsi="Arial" w:cs="Arial"/>
          <w:iCs/>
          <w:sz w:val="24"/>
          <w:szCs w:val="24"/>
        </w:rPr>
      </w:pPr>
      <w:r>
        <w:rPr>
          <w:rFonts w:ascii="Arial" w:hAnsi="Arial" w:cs="Arial"/>
          <w:iCs/>
          <w:sz w:val="24"/>
          <w:szCs w:val="24"/>
        </w:rPr>
        <w:t xml:space="preserve">* La </w:t>
      </w:r>
      <w:r w:rsidRPr="005C43A4">
        <w:rPr>
          <w:rFonts w:ascii="Arial" w:hAnsi="Arial" w:cs="Arial"/>
          <w:iCs/>
          <w:sz w:val="24"/>
          <w:szCs w:val="24"/>
        </w:rPr>
        <w:t>naturaleza de la actividad,</w:t>
      </w:r>
    </w:p>
    <w:p w:rsidR="005C43A4" w:rsidRDefault="005C43A4" w:rsidP="00C80EAC">
      <w:pPr>
        <w:tabs>
          <w:tab w:val="left" w:pos="1701"/>
        </w:tabs>
        <w:spacing w:line="480" w:lineRule="auto"/>
        <w:jc w:val="both"/>
        <w:rPr>
          <w:rFonts w:ascii="Arial" w:hAnsi="Arial" w:cs="Arial"/>
          <w:iCs/>
          <w:sz w:val="24"/>
          <w:szCs w:val="24"/>
        </w:rPr>
      </w:pPr>
      <w:r>
        <w:rPr>
          <w:rFonts w:ascii="Arial" w:hAnsi="Arial" w:cs="Arial"/>
          <w:iCs/>
          <w:sz w:val="24"/>
          <w:szCs w:val="24"/>
        </w:rPr>
        <w:t>*</w:t>
      </w:r>
      <w:r w:rsidR="00462E76" w:rsidRPr="005C43A4">
        <w:rPr>
          <w:rFonts w:ascii="Arial" w:hAnsi="Arial" w:cs="Arial"/>
          <w:iCs/>
          <w:sz w:val="24"/>
          <w:szCs w:val="24"/>
        </w:rPr>
        <w:t>Los</w:t>
      </w:r>
      <w:r w:rsidRPr="005C43A4">
        <w:rPr>
          <w:rFonts w:ascii="Arial" w:hAnsi="Arial" w:cs="Arial"/>
          <w:iCs/>
          <w:sz w:val="24"/>
          <w:szCs w:val="24"/>
        </w:rPr>
        <w:t xml:space="preserve"> medios de que dispone el servicio, </w:t>
      </w:r>
    </w:p>
    <w:p w:rsidR="005C43A4" w:rsidRDefault="005C43A4" w:rsidP="00C80EAC">
      <w:pPr>
        <w:tabs>
          <w:tab w:val="left" w:pos="1701"/>
        </w:tabs>
        <w:spacing w:line="480" w:lineRule="auto"/>
        <w:jc w:val="both"/>
        <w:rPr>
          <w:rFonts w:ascii="Arial" w:hAnsi="Arial" w:cs="Arial"/>
          <w:iCs/>
          <w:sz w:val="24"/>
          <w:szCs w:val="24"/>
        </w:rPr>
      </w:pPr>
      <w:r>
        <w:rPr>
          <w:rFonts w:ascii="Arial" w:hAnsi="Arial" w:cs="Arial"/>
          <w:iCs/>
          <w:sz w:val="24"/>
          <w:szCs w:val="24"/>
        </w:rPr>
        <w:t xml:space="preserve">* </w:t>
      </w:r>
      <w:r w:rsidR="00462E76" w:rsidRPr="005C43A4">
        <w:rPr>
          <w:rFonts w:ascii="Arial" w:hAnsi="Arial" w:cs="Arial"/>
          <w:iCs/>
          <w:sz w:val="24"/>
          <w:szCs w:val="24"/>
        </w:rPr>
        <w:t>El</w:t>
      </w:r>
      <w:r w:rsidRPr="005C43A4">
        <w:rPr>
          <w:rFonts w:ascii="Arial" w:hAnsi="Arial" w:cs="Arial"/>
          <w:iCs/>
          <w:sz w:val="24"/>
          <w:szCs w:val="24"/>
        </w:rPr>
        <w:t xml:space="preserve"> lazo que une a la víctima con el servicio y </w:t>
      </w:r>
    </w:p>
    <w:p w:rsidR="001A0320" w:rsidRDefault="005C43A4" w:rsidP="00C80EAC">
      <w:pPr>
        <w:tabs>
          <w:tab w:val="left" w:pos="1701"/>
        </w:tabs>
        <w:spacing w:line="480" w:lineRule="auto"/>
        <w:jc w:val="both"/>
        <w:rPr>
          <w:rFonts w:ascii="Arial" w:hAnsi="Arial" w:cs="Arial"/>
          <w:iCs/>
          <w:sz w:val="24"/>
          <w:szCs w:val="24"/>
        </w:rPr>
      </w:pPr>
      <w:r>
        <w:rPr>
          <w:rFonts w:ascii="Arial" w:hAnsi="Arial" w:cs="Arial"/>
          <w:iCs/>
          <w:sz w:val="24"/>
          <w:szCs w:val="24"/>
        </w:rPr>
        <w:t xml:space="preserve">* </w:t>
      </w:r>
      <w:r w:rsidR="00462E76" w:rsidRPr="005C43A4">
        <w:rPr>
          <w:rFonts w:ascii="Arial" w:hAnsi="Arial" w:cs="Arial"/>
          <w:iCs/>
          <w:sz w:val="24"/>
          <w:szCs w:val="24"/>
        </w:rPr>
        <w:t>El</w:t>
      </w:r>
      <w:r w:rsidRPr="005C43A4">
        <w:rPr>
          <w:rFonts w:ascii="Arial" w:hAnsi="Arial" w:cs="Arial"/>
          <w:iCs/>
          <w:sz w:val="24"/>
          <w:szCs w:val="24"/>
        </w:rPr>
        <w:t xml:space="preserve"> grado de previsibilidad del daño</w:t>
      </w:r>
      <w:r>
        <w:rPr>
          <w:rFonts w:ascii="Arial" w:hAnsi="Arial" w:cs="Arial"/>
          <w:iCs/>
          <w:sz w:val="24"/>
          <w:szCs w:val="24"/>
        </w:rPr>
        <w:t>.</w:t>
      </w:r>
    </w:p>
    <w:p w:rsidR="001A0320" w:rsidRDefault="001A0320" w:rsidP="00C80EAC">
      <w:pPr>
        <w:tabs>
          <w:tab w:val="left" w:pos="1701"/>
        </w:tabs>
        <w:spacing w:line="480" w:lineRule="auto"/>
        <w:jc w:val="both"/>
        <w:rPr>
          <w:rFonts w:ascii="Arial" w:hAnsi="Arial" w:cs="Arial"/>
          <w:iCs/>
          <w:sz w:val="24"/>
          <w:szCs w:val="24"/>
        </w:rPr>
      </w:pPr>
    </w:p>
    <w:p w:rsidR="001A0320" w:rsidRPr="001A0320" w:rsidRDefault="001A0320" w:rsidP="00C80EAC">
      <w:pPr>
        <w:tabs>
          <w:tab w:val="left" w:pos="1701"/>
        </w:tabs>
        <w:spacing w:line="480" w:lineRule="auto"/>
        <w:jc w:val="both"/>
        <w:rPr>
          <w:rFonts w:ascii="Arial" w:hAnsi="Arial" w:cs="Arial"/>
          <w:b/>
          <w:i/>
          <w:iCs/>
          <w:sz w:val="24"/>
          <w:szCs w:val="24"/>
        </w:rPr>
      </w:pPr>
      <w:r w:rsidRPr="001A0320">
        <w:rPr>
          <w:rFonts w:ascii="Arial" w:hAnsi="Arial" w:cs="Arial"/>
          <w:b/>
          <w:i/>
          <w:iCs/>
          <w:sz w:val="24"/>
          <w:szCs w:val="24"/>
        </w:rPr>
        <w:t>STANDARS DE ACTUACION</w:t>
      </w:r>
    </w:p>
    <w:p w:rsidR="00AD3238"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ab/>
      </w:r>
      <w:r w:rsidR="00870792">
        <w:rPr>
          <w:rFonts w:ascii="Arial" w:hAnsi="Arial" w:cs="Arial"/>
          <w:iCs/>
          <w:sz w:val="24"/>
          <w:szCs w:val="24"/>
        </w:rPr>
        <w:t>A finde analizar</w:t>
      </w:r>
      <w:r w:rsidR="00AD3238">
        <w:rPr>
          <w:rFonts w:ascii="Arial" w:hAnsi="Arial" w:cs="Arial"/>
          <w:iCs/>
          <w:sz w:val="24"/>
          <w:szCs w:val="24"/>
        </w:rPr>
        <w:t xml:space="preserve"> cuál es el </w:t>
      </w:r>
      <w:r w:rsidR="00AD3238" w:rsidRPr="00AD3238">
        <w:rPr>
          <w:rFonts w:ascii="Arial" w:hAnsi="Arial" w:cs="Arial"/>
          <w:i/>
          <w:iCs/>
          <w:sz w:val="24"/>
          <w:szCs w:val="24"/>
        </w:rPr>
        <w:t>grado de previsibilidad</w:t>
      </w:r>
      <w:r w:rsidR="00462E76">
        <w:rPr>
          <w:rFonts w:ascii="Arial" w:hAnsi="Arial" w:cs="Arial"/>
          <w:i/>
          <w:iCs/>
          <w:sz w:val="24"/>
          <w:szCs w:val="24"/>
        </w:rPr>
        <w:t xml:space="preserve"> del daño</w:t>
      </w:r>
      <w:r w:rsidR="00AD3238">
        <w:rPr>
          <w:rFonts w:ascii="Arial" w:hAnsi="Arial" w:cs="Arial"/>
          <w:iCs/>
          <w:sz w:val="24"/>
          <w:szCs w:val="24"/>
        </w:rPr>
        <w:t xml:space="preserve">, </w:t>
      </w:r>
      <w:r w:rsidR="006F217B">
        <w:rPr>
          <w:rFonts w:ascii="Arial" w:hAnsi="Arial" w:cs="Arial"/>
          <w:iCs/>
          <w:sz w:val="24"/>
          <w:szCs w:val="24"/>
        </w:rPr>
        <w:t xml:space="preserve">he considerado dos </w:t>
      </w:r>
      <w:r w:rsidR="00AD3238">
        <w:rPr>
          <w:rFonts w:ascii="Arial" w:hAnsi="Arial" w:cs="Arial"/>
          <w:iCs/>
          <w:sz w:val="24"/>
          <w:szCs w:val="24"/>
        </w:rPr>
        <w:t>precedente</w:t>
      </w:r>
      <w:r w:rsidR="00870792">
        <w:rPr>
          <w:rFonts w:ascii="Arial" w:hAnsi="Arial" w:cs="Arial"/>
          <w:iCs/>
          <w:sz w:val="24"/>
          <w:szCs w:val="24"/>
        </w:rPr>
        <w:t>s</w:t>
      </w:r>
      <w:r w:rsidR="00AD3238">
        <w:rPr>
          <w:rFonts w:ascii="Arial" w:hAnsi="Arial" w:cs="Arial"/>
          <w:iCs/>
          <w:sz w:val="24"/>
          <w:szCs w:val="24"/>
        </w:rPr>
        <w:t xml:space="preserve"> jurisprudenciales.</w:t>
      </w:r>
    </w:p>
    <w:p w:rsidR="00E6689E" w:rsidRDefault="00AD3238" w:rsidP="00C80EAC">
      <w:pPr>
        <w:tabs>
          <w:tab w:val="left" w:pos="1701"/>
        </w:tabs>
        <w:spacing w:line="480" w:lineRule="auto"/>
        <w:jc w:val="both"/>
        <w:rPr>
          <w:rFonts w:ascii="Arial" w:hAnsi="Arial" w:cs="Arial"/>
          <w:iCs/>
          <w:sz w:val="24"/>
          <w:szCs w:val="24"/>
        </w:rPr>
      </w:pPr>
      <w:r>
        <w:rPr>
          <w:rFonts w:ascii="Arial" w:hAnsi="Arial" w:cs="Arial"/>
          <w:iCs/>
          <w:sz w:val="24"/>
          <w:szCs w:val="24"/>
        </w:rPr>
        <w:tab/>
      </w:r>
    </w:p>
    <w:p w:rsidR="00562B12" w:rsidRPr="00562B12" w:rsidRDefault="00562B12" w:rsidP="00C80EAC">
      <w:pPr>
        <w:tabs>
          <w:tab w:val="left" w:pos="1701"/>
        </w:tabs>
        <w:spacing w:line="480" w:lineRule="auto"/>
        <w:jc w:val="both"/>
        <w:rPr>
          <w:rFonts w:ascii="Arial" w:hAnsi="Arial" w:cs="Arial"/>
          <w:i/>
          <w:iCs/>
          <w:sz w:val="24"/>
          <w:szCs w:val="24"/>
        </w:rPr>
      </w:pPr>
      <w:r>
        <w:rPr>
          <w:rFonts w:ascii="Arial" w:hAnsi="Arial" w:cs="Arial"/>
          <w:i/>
          <w:iCs/>
          <w:sz w:val="24"/>
          <w:szCs w:val="24"/>
        </w:rPr>
        <w:t>Precedente de la Corte Interamericana de Derechos Humanos</w:t>
      </w:r>
    </w:p>
    <w:p w:rsidR="00406240" w:rsidRDefault="00870792" w:rsidP="00C80EAC">
      <w:pPr>
        <w:tabs>
          <w:tab w:val="left" w:pos="1701"/>
        </w:tabs>
        <w:spacing w:line="480" w:lineRule="auto"/>
        <w:jc w:val="both"/>
        <w:rPr>
          <w:rFonts w:ascii="Arial" w:hAnsi="Arial" w:cs="Arial"/>
          <w:i/>
          <w:iCs/>
          <w:sz w:val="24"/>
          <w:szCs w:val="24"/>
        </w:rPr>
      </w:pPr>
      <w:r>
        <w:rPr>
          <w:rFonts w:ascii="Arial" w:hAnsi="Arial" w:cs="Arial"/>
          <w:iCs/>
          <w:sz w:val="24"/>
          <w:szCs w:val="24"/>
        </w:rPr>
        <w:tab/>
      </w:r>
      <w:r w:rsidR="001A0320" w:rsidRPr="001A0320">
        <w:rPr>
          <w:rFonts w:ascii="Arial" w:hAnsi="Arial" w:cs="Arial"/>
          <w:iCs/>
          <w:sz w:val="24"/>
          <w:szCs w:val="24"/>
        </w:rPr>
        <w:t>El</w:t>
      </w:r>
      <w:r>
        <w:rPr>
          <w:rFonts w:ascii="Arial" w:hAnsi="Arial" w:cs="Arial"/>
          <w:iCs/>
          <w:sz w:val="24"/>
          <w:szCs w:val="24"/>
        </w:rPr>
        <w:t xml:space="preserve"> precedente jurisprudencial que </w:t>
      </w:r>
      <w:r w:rsidR="00562B12">
        <w:rPr>
          <w:rFonts w:ascii="Arial" w:hAnsi="Arial" w:cs="Arial"/>
          <w:iCs/>
          <w:sz w:val="24"/>
          <w:szCs w:val="24"/>
        </w:rPr>
        <w:t xml:space="preserve">he </w:t>
      </w:r>
      <w:r>
        <w:rPr>
          <w:rFonts w:ascii="Arial" w:hAnsi="Arial" w:cs="Arial"/>
          <w:iCs/>
          <w:sz w:val="24"/>
          <w:szCs w:val="24"/>
        </w:rPr>
        <w:t>tomado es el de la Corte Interamericana</w:t>
      </w:r>
      <w:r w:rsidR="006F217B">
        <w:rPr>
          <w:rFonts w:ascii="Arial" w:hAnsi="Arial" w:cs="Arial"/>
          <w:iCs/>
          <w:sz w:val="24"/>
          <w:szCs w:val="24"/>
        </w:rPr>
        <w:t xml:space="preserve"> de Derechos Humanos</w:t>
      </w:r>
      <w:r>
        <w:rPr>
          <w:rFonts w:ascii="Arial" w:hAnsi="Arial" w:cs="Arial"/>
          <w:iCs/>
          <w:sz w:val="24"/>
          <w:szCs w:val="24"/>
        </w:rPr>
        <w:t>, el caso “Campo Algodonero”</w:t>
      </w:r>
      <w:r w:rsidR="00EF2726">
        <w:rPr>
          <w:rStyle w:val="Refdenotaalpie"/>
          <w:rFonts w:ascii="Arial" w:hAnsi="Arial" w:cs="Arial"/>
          <w:iCs/>
          <w:sz w:val="24"/>
          <w:szCs w:val="24"/>
        </w:rPr>
        <w:footnoteReference w:id="13"/>
      </w:r>
      <w:r>
        <w:rPr>
          <w:rFonts w:ascii="Arial" w:hAnsi="Arial" w:cs="Arial"/>
          <w:iCs/>
          <w:sz w:val="24"/>
          <w:szCs w:val="24"/>
        </w:rPr>
        <w:t xml:space="preserve">, del año 2009 que toma la doctrina del </w:t>
      </w:r>
      <w:r>
        <w:rPr>
          <w:rFonts w:ascii="Arial" w:hAnsi="Arial" w:cs="Arial"/>
          <w:i/>
          <w:iCs/>
          <w:sz w:val="24"/>
          <w:szCs w:val="24"/>
        </w:rPr>
        <w:t>riesgo previsible y evitable</w:t>
      </w:r>
      <w:r w:rsidR="00406240">
        <w:rPr>
          <w:rFonts w:ascii="Arial" w:hAnsi="Arial" w:cs="Arial"/>
          <w:i/>
          <w:iCs/>
          <w:sz w:val="24"/>
          <w:szCs w:val="24"/>
        </w:rPr>
        <w:t>.</w:t>
      </w:r>
    </w:p>
    <w:p w:rsidR="001A26E3" w:rsidRPr="001A26E3" w:rsidRDefault="001A26E3" w:rsidP="00C80EAC">
      <w:pPr>
        <w:tabs>
          <w:tab w:val="left" w:pos="1701"/>
        </w:tabs>
        <w:spacing w:line="480" w:lineRule="auto"/>
        <w:jc w:val="both"/>
        <w:rPr>
          <w:rFonts w:ascii="Arial" w:hAnsi="Arial" w:cs="Arial"/>
          <w:i/>
          <w:iCs/>
          <w:sz w:val="24"/>
          <w:szCs w:val="24"/>
        </w:rPr>
      </w:pPr>
      <w:r>
        <w:rPr>
          <w:rFonts w:ascii="Arial" w:hAnsi="Arial" w:cs="Arial"/>
          <w:i/>
          <w:iCs/>
          <w:sz w:val="24"/>
          <w:szCs w:val="24"/>
        </w:rPr>
        <w:lastRenderedPageBreak/>
        <w:tab/>
      </w:r>
      <w:r>
        <w:rPr>
          <w:rFonts w:ascii="Arial" w:hAnsi="Arial" w:cs="Arial"/>
          <w:iCs/>
          <w:sz w:val="24"/>
          <w:szCs w:val="24"/>
        </w:rPr>
        <w:t>Es de mucha importancia el referido fallo, particularmente en el punto 4.2.1.en el que trata el d</w:t>
      </w:r>
      <w:r w:rsidRPr="001A26E3">
        <w:rPr>
          <w:rFonts w:ascii="Arial" w:hAnsi="Arial" w:cs="Arial"/>
          <w:iCs/>
          <w:sz w:val="24"/>
          <w:szCs w:val="24"/>
        </w:rPr>
        <w:t>eber de prevención de los derechos a la libertad personal, integridad personal y vida de las víctimas</w:t>
      </w:r>
      <w:r>
        <w:rPr>
          <w:rFonts w:ascii="Arial" w:hAnsi="Arial" w:cs="Arial"/>
          <w:iCs/>
          <w:sz w:val="24"/>
          <w:szCs w:val="24"/>
        </w:rPr>
        <w:t xml:space="preserve">, los precedentes en los que se basa para la sentencia, particularmente la </w:t>
      </w:r>
      <w:r>
        <w:rPr>
          <w:rFonts w:ascii="Arial" w:hAnsi="Arial" w:cs="Arial"/>
          <w:i/>
          <w:iCs/>
          <w:sz w:val="24"/>
          <w:szCs w:val="24"/>
        </w:rPr>
        <w:t>debida diligencia.</w:t>
      </w:r>
    </w:p>
    <w:p w:rsidR="00406240" w:rsidRDefault="00406240" w:rsidP="00C80EAC">
      <w:pPr>
        <w:tabs>
          <w:tab w:val="left" w:pos="1701"/>
        </w:tabs>
        <w:spacing w:line="480" w:lineRule="auto"/>
        <w:jc w:val="both"/>
        <w:rPr>
          <w:rFonts w:ascii="Arial" w:hAnsi="Arial" w:cs="Arial"/>
          <w:i/>
          <w:iCs/>
          <w:sz w:val="24"/>
          <w:szCs w:val="24"/>
        </w:rPr>
      </w:pP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ab/>
        <w:t>Allí la Corte Interamericana aplica la Convención Interamericana para Prevenir, Sancionar y Erradicar la Violencia contra la Mujer, conocida como “Convención de Belem do Pará” a la cual adhiriera nuestro país mediante ley</w:t>
      </w:r>
      <w:r w:rsidR="00406240">
        <w:rPr>
          <w:rFonts w:ascii="Arial" w:hAnsi="Arial" w:cs="Arial"/>
          <w:iCs/>
          <w:sz w:val="24"/>
          <w:szCs w:val="24"/>
        </w:rPr>
        <w:t xml:space="preserve"> 24.632/ 96, </w:t>
      </w:r>
      <w:r w:rsidR="00562B12">
        <w:rPr>
          <w:rFonts w:ascii="Arial" w:hAnsi="Arial" w:cs="Arial"/>
          <w:iCs/>
          <w:sz w:val="24"/>
          <w:szCs w:val="24"/>
        </w:rPr>
        <w:t>y aplica el a</w:t>
      </w:r>
      <w:r w:rsidR="00406240">
        <w:rPr>
          <w:rFonts w:ascii="Arial" w:hAnsi="Arial" w:cs="Arial"/>
          <w:iCs/>
          <w:sz w:val="24"/>
          <w:szCs w:val="24"/>
        </w:rPr>
        <w:t>rt. 7°</w:t>
      </w:r>
      <w:r w:rsidR="00562B12">
        <w:rPr>
          <w:rFonts w:ascii="Arial" w:hAnsi="Arial" w:cs="Arial"/>
          <w:iCs/>
          <w:sz w:val="24"/>
          <w:szCs w:val="24"/>
        </w:rPr>
        <w:t xml:space="preserve">para  </w:t>
      </w:r>
      <w:r w:rsidRPr="001A0320">
        <w:rPr>
          <w:rFonts w:ascii="Arial" w:hAnsi="Arial" w:cs="Arial"/>
          <w:iCs/>
          <w:sz w:val="24"/>
          <w:szCs w:val="24"/>
        </w:rPr>
        <w:t>precis</w:t>
      </w:r>
      <w:r w:rsidR="00562B12">
        <w:rPr>
          <w:rFonts w:ascii="Arial" w:hAnsi="Arial" w:cs="Arial"/>
          <w:iCs/>
          <w:sz w:val="24"/>
          <w:szCs w:val="24"/>
        </w:rPr>
        <w:t>ar</w:t>
      </w:r>
      <w:r w:rsidRPr="001A0320">
        <w:rPr>
          <w:rFonts w:ascii="Arial" w:hAnsi="Arial" w:cs="Arial"/>
          <w:iCs/>
          <w:sz w:val="24"/>
          <w:szCs w:val="24"/>
        </w:rPr>
        <w:t xml:space="preserve"> el estándar de </w:t>
      </w:r>
      <w:r w:rsidRPr="00406240">
        <w:rPr>
          <w:rFonts w:ascii="Arial" w:hAnsi="Arial" w:cs="Arial"/>
          <w:i/>
          <w:iCs/>
          <w:sz w:val="24"/>
          <w:szCs w:val="24"/>
        </w:rPr>
        <w:t>“debida diligencia”</w:t>
      </w:r>
      <w:r w:rsidRPr="001A0320">
        <w:rPr>
          <w:rFonts w:ascii="Arial" w:hAnsi="Arial" w:cs="Arial"/>
          <w:iCs/>
          <w:sz w:val="24"/>
          <w:szCs w:val="24"/>
        </w:rPr>
        <w:t xml:space="preserve"> a fin de determinar el alcance del deber estatal de protección de los derechos frente a los actos de particulares.</w:t>
      </w:r>
    </w:p>
    <w:p w:rsidR="001A0320" w:rsidRPr="001A0320" w:rsidRDefault="001A0320" w:rsidP="00C80EAC">
      <w:pPr>
        <w:tabs>
          <w:tab w:val="left" w:pos="1701"/>
        </w:tabs>
        <w:spacing w:line="480" w:lineRule="auto"/>
        <w:jc w:val="both"/>
        <w:rPr>
          <w:rFonts w:ascii="Arial" w:hAnsi="Arial" w:cs="Arial"/>
          <w:iCs/>
          <w:sz w:val="24"/>
          <w:szCs w:val="24"/>
        </w:rPr>
      </w:pPr>
    </w:p>
    <w:p w:rsidR="0040624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RIESGO PREVISIBLE Y EVITABLE</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Altos Estándares de anormalidad en la prestación del servicio, es lo que refiere el artículo 7 de la Convención.</w:t>
      </w:r>
    </w:p>
    <w:p w:rsidR="001A0320" w:rsidRPr="001A0320" w:rsidRDefault="001A0320" w:rsidP="00C80EAC">
      <w:pPr>
        <w:tabs>
          <w:tab w:val="left" w:pos="1701"/>
        </w:tabs>
        <w:spacing w:line="480" w:lineRule="auto"/>
        <w:jc w:val="both"/>
        <w:rPr>
          <w:rFonts w:ascii="Arial" w:hAnsi="Arial" w:cs="Arial"/>
          <w:iCs/>
          <w:sz w:val="24"/>
          <w:szCs w:val="24"/>
        </w:rPr>
      </w:pP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ab/>
        <w:t>El decisorio establece que “el deber del Estado de adoptar medidas de prevención y protección está condicionado, según la Corte, por el conocimiento de una situación de riesgo real e inmediato para un individuo o grupos de individuos determinado y por la posibilidad razonable de prevenir y evitar ese riesgo” (Corte Interamericana, “Campo algodonero”).</w:t>
      </w:r>
    </w:p>
    <w:p w:rsidR="001A0320" w:rsidRPr="001A0320" w:rsidRDefault="001A0320" w:rsidP="00C80EAC">
      <w:pPr>
        <w:tabs>
          <w:tab w:val="left" w:pos="1701"/>
        </w:tabs>
        <w:spacing w:line="480" w:lineRule="auto"/>
        <w:jc w:val="both"/>
        <w:rPr>
          <w:rFonts w:ascii="Arial" w:hAnsi="Arial" w:cs="Arial"/>
          <w:iCs/>
          <w:sz w:val="24"/>
          <w:szCs w:val="24"/>
        </w:rPr>
      </w:pP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lastRenderedPageBreak/>
        <w:tab/>
        <w:t>La doctrina del riesgo previsible y evitable requiere, al menos de la existencia de los siguientes elementos:</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1)  que exista una situación de riesgo real o inmediato que amenace derechos y que surja de la acción o las prácticas de particulares; se requiere que el riesgo no sea meramente hipotético o eventual y además que no sea remoto, sino que tenga posibilidad cierta</w:t>
      </w:r>
      <w:r w:rsidR="00635591">
        <w:rPr>
          <w:rFonts w:ascii="Arial" w:hAnsi="Arial" w:cs="Arial"/>
          <w:iCs/>
          <w:sz w:val="24"/>
          <w:szCs w:val="24"/>
        </w:rPr>
        <w:t xml:space="preserve"> de materializarse de inmediato;</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 xml:space="preserve">2) que la situación de riesgo amenace a un individuo o a un grupo determinado, es decir, que exista un riesgo particularizado; </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 xml:space="preserve">3) que el Estado conozca el riesgo o hubiera debido razonablemente conocerlo o preverlo; </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4) finalmente que el Estado pueda razonablemente</w:t>
      </w:r>
      <w:r w:rsidR="00635591">
        <w:rPr>
          <w:rFonts w:ascii="Arial" w:hAnsi="Arial" w:cs="Arial"/>
          <w:iCs/>
          <w:sz w:val="24"/>
          <w:szCs w:val="24"/>
        </w:rPr>
        <w:t>,</w:t>
      </w:r>
      <w:r w:rsidRPr="001A0320">
        <w:rPr>
          <w:rFonts w:ascii="Arial" w:hAnsi="Arial" w:cs="Arial"/>
          <w:iCs/>
          <w:sz w:val="24"/>
          <w:szCs w:val="24"/>
        </w:rPr>
        <w:t xml:space="preserve"> prevenir o evitar la materialización del riesgo. </w:t>
      </w:r>
    </w:p>
    <w:p w:rsidR="001A0320" w:rsidRPr="001A0320" w:rsidRDefault="001A0320" w:rsidP="00C80EAC">
      <w:pPr>
        <w:tabs>
          <w:tab w:val="left" w:pos="1701"/>
        </w:tabs>
        <w:spacing w:line="480" w:lineRule="auto"/>
        <w:jc w:val="both"/>
        <w:rPr>
          <w:rFonts w:ascii="Arial" w:hAnsi="Arial" w:cs="Arial"/>
          <w:iCs/>
          <w:sz w:val="24"/>
          <w:szCs w:val="24"/>
        </w:rPr>
      </w:pP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ab/>
        <w:t>La evitabilidad y previsibilidad del riesgo está dado por el deber de diligencia catalogado por el artículo 7 de la Convención, que dice: “Los Estados Partes condenan todas las formas de violencia contra la mujer y convienen en adoptar, por todos los medios apropiados y sin dilaciones, políticas, orientadas a prevenir, sancionar y erradicar dicha violencia y en llevar a cabo lo siguiente:</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a. abstenerse de cualquier acción o práctica de violencia contra la mujer y velar por que las autoridades, sus funcionarios, personal y agentes e instituciones se comporten de conformidad con esta obligación;</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lastRenderedPageBreak/>
        <w:t>b. actuar con la debida diligencia para prevenir, investigar y sancionar la violencia contra la mujer;</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d. adoptar medidas jurídicas para conminar al agresor a abstenerse de hostigar, intimidar, amenazar, dañar o poner en peligro la vida de la mujer de cualquier forma que atente contra su integridad o perjudique su propiedad;</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e. tomar todas las medidas apropiadas, incluyendo medidas de tipo legislativo, para modificar o abolir leyes y reglamentos vigentes, o para modificar prácticas jurídicas o consuetudinarias que respalden la persistencia o la tolerancia de la violencia contra la mujer;</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f. establecer procedimientos legales justos y eficaces para la mujer que haya sido sometida a violencia, que incluyan, entre otros, medidas de protección, un juicio oportuno y el acceso efectivo a tales procedimientos;</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g. establecer los mecanismos judiciales y administrativos necesarios para asegurar que la mujer objeto de violencia tenga acceso efectivo a resarcimiento, reparación del daño u otros medios de compensación justos y eficaces, y</w:t>
      </w: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h. adoptar las disposiciones legislativas o de otra índole que sean necesarias para hacer efectiva esta Convención</w:t>
      </w:r>
      <w:r w:rsidR="00635591">
        <w:rPr>
          <w:rFonts w:ascii="Arial" w:hAnsi="Arial" w:cs="Arial"/>
          <w:iCs/>
          <w:sz w:val="24"/>
          <w:szCs w:val="24"/>
        </w:rPr>
        <w:t>.</w:t>
      </w:r>
    </w:p>
    <w:p w:rsidR="001A0320" w:rsidRPr="001A0320" w:rsidRDefault="001A0320" w:rsidP="00C80EAC">
      <w:pPr>
        <w:tabs>
          <w:tab w:val="left" w:pos="1701"/>
        </w:tabs>
        <w:spacing w:line="480" w:lineRule="auto"/>
        <w:jc w:val="both"/>
        <w:rPr>
          <w:rFonts w:ascii="Arial" w:hAnsi="Arial" w:cs="Arial"/>
          <w:iCs/>
          <w:sz w:val="24"/>
          <w:szCs w:val="24"/>
        </w:rPr>
      </w:pPr>
    </w:p>
    <w:p w:rsidR="001A0320" w:rsidRP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lastRenderedPageBreak/>
        <w:tab/>
      </w:r>
      <w:r w:rsidRPr="001A0320">
        <w:rPr>
          <w:rFonts w:ascii="Arial" w:hAnsi="Arial" w:cs="Arial"/>
          <w:iCs/>
          <w:sz w:val="24"/>
          <w:szCs w:val="24"/>
        </w:rPr>
        <w:tab/>
        <w:t>En definitiva, en los casos de violencia basados en el género, el Estado es garante frente a la existencia</w:t>
      </w:r>
      <w:r w:rsidR="00635591">
        <w:rPr>
          <w:rFonts w:ascii="Arial" w:hAnsi="Arial" w:cs="Arial"/>
          <w:iCs/>
          <w:sz w:val="24"/>
          <w:szCs w:val="24"/>
        </w:rPr>
        <w:t xml:space="preserve"> de riesgo de la violencia ejercida en </w:t>
      </w:r>
      <w:r w:rsidRPr="001A0320">
        <w:rPr>
          <w:rFonts w:ascii="Arial" w:hAnsi="Arial" w:cs="Arial"/>
          <w:iCs/>
          <w:sz w:val="24"/>
          <w:szCs w:val="24"/>
        </w:rPr>
        <w:t>éste tipo de hechos, en particular.</w:t>
      </w:r>
    </w:p>
    <w:p w:rsidR="001A0320" w:rsidRPr="001A0320" w:rsidRDefault="001A0320" w:rsidP="00C80EAC">
      <w:pPr>
        <w:tabs>
          <w:tab w:val="left" w:pos="1701"/>
        </w:tabs>
        <w:spacing w:line="480" w:lineRule="auto"/>
        <w:jc w:val="both"/>
        <w:rPr>
          <w:rFonts w:ascii="Arial" w:hAnsi="Arial" w:cs="Arial"/>
          <w:iCs/>
          <w:sz w:val="24"/>
          <w:szCs w:val="24"/>
        </w:rPr>
      </w:pPr>
    </w:p>
    <w:p w:rsidR="001A0320" w:rsidRDefault="001A0320" w:rsidP="00C80EAC">
      <w:pPr>
        <w:tabs>
          <w:tab w:val="left" w:pos="1701"/>
        </w:tabs>
        <w:spacing w:line="480" w:lineRule="auto"/>
        <w:jc w:val="both"/>
        <w:rPr>
          <w:rFonts w:ascii="Arial" w:hAnsi="Arial" w:cs="Arial"/>
          <w:iCs/>
          <w:sz w:val="24"/>
          <w:szCs w:val="24"/>
        </w:rPr>
      </w:pPr>
      <w:r w:rsidRPr="001A0320">
        <w:rPr>
          <w:rFonts w:ascii="Arial" w:hAnsi="Arial" w:cs="Arial"/>
          <w:iCs/>
          <w:sz w:val="24"/>
          <w:szCs w:val="24"/>
        </w:rPr>
        <w:tab/>
        <w:t>Que sea garante significa dar una respuesta efectiva en los casos de éste tipo, fortaleciendo las instituciones para amparar a la mujer de este tipo de agresiones.</w:t>
      </w:r>
    </w:p>
    <w:p w:rsidR="00C80EAC" w:rsidRDefault="00C80EAC" w:rsidP="00C80EAC">
      <w:pPr>
        <w:tabs>
          <w:tab w:val="left" w:pos="1701"/>
        </w:tabs>
        <w:spacing w:line="480" w:lineRule="auto"/>
        <w:jc w:val="both"/>
        <w:rPr>
          <w:rFonts w:ascii="Arial" w:hAnsi="Arial" w:cs="Arial"/>
          <w:b/>
          <w:i/>
          <w:iCs/>
          <w:sz w:val="24"/>
          <w:szCs w:val="24"/>
        </w:rPr>
      </w:pPr>
    </w:p>
    <w:p w:rsidR="00562B12" w:rsidRPr="00695713" w:rsidRDefault="00562B12" w:rsidP="00C80EAC">
      <w:pPr>
        <w:tabs>
          <w:tab w:val="left" w:pos="1701"/>
        </w:tabs>
        <w:spacing w:line="480" w:lineRule="auto"/>
        <w:jc w:val="both"/>
        <w:rPr>
          <w:rFonts w:ascii="Arial" w:hAnsi="Arial" w:cs="Arial"/>
          <w:b/>
          <w:i/>
          <w:iCs/>
          <w:sz w:val="24"/>
          <w:szCs w:val="24"/>
        </w:rPr>
      </w:pPr>
      <w:r w:rsidRPr="00695713">
        <w:rPr>
          <w:rFonts w:ascii="Arial" w:hAnsi="Arial" w:cs="Arial"/>
          <w:b/>
          <w:i/>
          <w:iCs/>
          <w:sz w:val="24"/>
          <w:szCs w:val="24"/>
        </w:rPr>
        <w:t>Precedente de la Provincia de Córdoba</w:t>
      </w:r>
    </w:p>
    <w:p w:rsidR="00695713" w:rsidRPr="00695713" w:rsidRDefault="00562B12" w:rsidP="00C80EAC">
      <w:pPr>
        <w:tabs>
          <w:tab w:val="left" w:pos="1701"/>
        </w:tabs>
        <w:spacing w:line="480" w:lineRule="auto"/>
        <w:jc w:val="both"/>
        <w:rPr>
          <w:rFonts w:ascii="Arial" w:hAnsi="Arial" w:cs="Arial"/>
          <w:sz w:val="24"/>
          <w:szCs w:val="24"/>
        </w:rPr>
      </w:pPr>
      <w:r w:rsidRPr="00695713">
        <w:rPr>
          <w:rFonts w:ascii="Arial" w:hAnsi="Arial" w:cs="Arial"/>
          <w:sz w:val="24"/>
          <w:szCs w:val="24"/>
        </w:rPr>
        <w:t xml:space="preserve">El precedente </w:t>
      </w:r>
      <w:r w:rsidR="001C6ABF">
        <w:rPr>
          <w:rFonts w:ascii="Arial" w:hAnsi="Arial" w:cs="Arial"/>
          <w:sz w:val="24"/>
          <w:szCs w:val="24"/>
        </w:rPr>
        <w:t xml:space="preserve">nacional </w:t>
      </w:r>
      <w:r w:rsidRPr="00695713">
        <w:rPr>
          <w:rFonts w:ascii="Arial" w:hAnsi="Arial" w:cs="Arial"/>
          <w:sz w:val="24"/>
          <w:szCs w:val="24"/>
        </w:rPr>
        <w:t>que he tomado para referenciar el presente trabajo es el caso "QUIÑONES”</w:t>
      </w:r>
      <w:r w:rsidRPr="00695713">
        <w:rPr>
          <w:rStyle w:val="Refdenotaalpie"/>
          <w:rFonts w:ascii="Arial" w:hAnsi="Arial" w:cs="Arial"/>
          <w:sz w:val="24"/>
          <w:szCs w:val="24"/>
        </w:rPr>
        <w:footnoteReference w:id="14"/>
      </w:r>
    </w:p>
    <w:p w:rsidR="00695713" w:rsidRDefault="00695713" w:rsidP="00C80EAC">
      <w:pPr>
        <w:tabs>
          <w:tab w:val="left" w:pos="1701"/>
        </w:tabs>
        <w:spacing w:line="480" w:lineRule="auto"/>
        <w:jc w:val="both"/>
        <w:rPr>
          <w:rFonts w:ascii="Arial" w:hAnsi="Arial" w:cs="Arial"/>
          <w:iCs/>
          <w:sz w:val="24"/>
          <w:szCs w:val="24"/>
        </w:rPr>
      </w:pPr>
    </w:p>
    <w:p w:rsidR="00406240" w:rsidRDefault="00695713" w:rsidP="00C80EAC">
      <w:pPr>
        <w:tabs>
          <w:tab w:val="left" w:pos="1701"/>
        </w:tabs>
        <w:spacing w:line="480" w:lineRule="auto"/>
        <w:jc w:val="both"/>
        <w:rPr>
          <w:rFonts w:ascii="Arial" w:hAnsi="Arial" w:cs="Arial"/>
          <w:iCs/>
          <w:sz w:val="24"/>
          <w:szCs w:val="24"/>
        </w:rPr>
      </w:pPr>
      <w:r>
        <w:rPr>
          <w:rFonts w:ascii="Arial" w:hAnsi="Arial" w:cs="Arial"/>
          <w:iCs/>
          <w:sz w:val="24"/>
          <w:szCs w:val="24"/>
        </w:rPr>
        <w:tab/>
      </w:r>
      <w:r w:rsidR="00406240" w:rsidRPr="00695713">
        <w:rPr>
          <w:rFonts w:ascii="Arial" w:hAnsi="Arial" w:cs="Arial"/>
          <w:iCs/>
          <w:sz w:val="24"/>
          <w:szCs w:val="24"/>
        </w:rPr>
        <w:t>El fallo da por hecho que la voluntad estatal es poner a disposición los medios necesarios para prevenir, sancionar y erradicar la violencia contra la mujer al adherir a la “Convención de Belem do Pará” mediante ley nacional 24</w:t>
      </w:r>
      <w:r w:rsidR="00474964">
        <w:rPr>
          <w:rFonts w:ascii="Arial" w:hAnsi="Arial" w:cs="Arial"/>
          <w:iCs/>
          <w:sz w:val="24"/>
          <w:szCs w:val="24"/>
        </w:rPr>
        <w:t>.</w:t>
      </w:r>
      <w:r w:rsidR="00406240" w:rsidRPr="00695713">
        <w:rPr>
          <w:rFonts w:ascii="Arial" w:hAnsi="Arial" w:cs="Arial"/>
          <w:iCs/>
          <w:sz w:val="24"/>
          <w:szCs w:val="24"/>
        </w:rPr>
        <w:t>632/96, antes de la sanción de ley prov</w:t>
      </w:r>
      <w:r w:rsidR="00C80EAC">
        <w:rPr>
          <w:rFonts w:ascii="Arial" w:hAnsi="Arial" w:cs="Arial"/>
          <w:iCs/>
          <w:sz w:val="24"/>
          <w:szCs w:val="24"/>
        </w:rPr>
        <w:t>incial específica en la materia</w:t>
      </w:r>
      <w:r w:rsidR="00474964">
        <w:rPr>
          <w:rFonts w:ascii="Arial" w:hAnsi="Arial" w:cs="Arial"/>
          <w:iCs/>
          <w:sz w:val="24"/>
          <w:szCs w:val="24"/>
        </w:rPr>
        <w:t>. P</w:t>
      </w:r>
      <w:r w:rsidR="00406240" w:rsidRPr="00695713">
        <w:rPr>
          <w:rFonts w:ascii="Arial" w:hAnsi="Arial" w:cs="Arial"/>
          <w:iCs/>
          <w:sz w:val="24"/>
          <w:szCs w:val="24"/>
        </w:rPr>
        <w:t>or lo tanto ésas disposiciones son de aplicación inmediata</w:t>
      </w:r>
      <w:r w:rsidR="00474964">
        <w:rPr>
          <w:rFonts w:ascii="Arial" w:hAnsi="Arial" w:cs="Arial"/>
          <w:iCs/>
          <w:sz w:val="24"/>
          <w:szCs w:val="24"/>
        </w:rPr>
        <w:t>,previo a</w:t>
      </w:r>
      <w:r>
        <w:rPr>
          <w:rFonts w:ascii="Arial" w:hAnsi="Arial" w:cs="Arial"/>
          <w:iCs/>
          <w:sz w:val="24"/>
          <w:szCs w:val="24"/>
        </w:rPr>
        <w:t xml:space="preserve"> la ratificación por el Poder Legislador, la Convención establece </w:t>
      </w:r>
      <w:r w:rsidR="008B1E6A">
        <w:rPr>
          <w:rFonts w:ascii="Arial" w:hAnsi="Arial" w:cs="Arial"/>
          <w:iCs/>
          <w:sz w:val="24"/>
          <w:szCs w:val="24"/>
        </w:rPr>
        <w:t>la responsabilidad del Estado</w:t>
      </w:r>
      <w:r w:rsidR="00406240" w:rsidRPr="00695713">
        <w:rPr>
          <w:rFonts w:ascii="Arial" w:hAnsi="Arial" w:cs="Arial"/>
          <w:iCs/>
          <w:sz w:val="24"/>
          <w:szCs w:val="24"/>
        </w:rPr>
        <w:t>.</w:t>
      </w:r>
    </w:p>
    <w:p w:rsidR="00695713" w:rsidRDefault="00695713" w:rsidP="00C80EAC">
      <w:pPr>
        <w:tabs>
          <w:tab w:val="left" w:pos="1701"/>
        </w:tabs>
        <w:spacing w:line="480" w:lineRule="auto"/>
        <w:jc w:val="both"/>
        <w:rPr>
          <w:rFonts w:ascii="Arial" w:hAnsi="Arial" w:cs="Arial"/>
          <w:iCs/>
          <w:sz w:val="24"/>
          <w:szCs w:val="24"/>
        </w:rPr>
      </w:pPr>
    </w:p>
    <w:p w:rsidR="00695713" w:rsidRPr="00695713" w:rsidRDefault="00695713" w:rsidP="00C80EAC">
      <w:pPr>
        <w:tabs>
          <w:tab w:val="left" w:pos="1701"/>
        </w:tabs>
        <w:spacing w:line="480" w:lineRule="auto"/>
        <w:jc w:val="both"/>
        <w:rPr>
          <w:rFonts w:ascii="Arial" w:hAnsi="Arial" w:cs="Arial"/>
          <w:iCs/>
          <w:sz w:val="24"/>
          <w:szCs w:val="24"/>
        </w:rPr>
      </w:pPr>
      <w:r>
        <w:rPr>
          <w:rFonts w:ascii="Arial" w:hAnsi="Arial" w:cs="Arial"/>
          <w:iCs/>
          <w:sz w:val="24"/>
          <w:szCs w:val="24"/>
        </w:rPr>
        <w:lastRenderedPageBreak/>
        <w:tab/>
      </w:r>
      <w:r w:rsidRPr="00695713">
        <w:rPr>
          <w:rFonts w:ascii="Arial" w:hAnsi="Arial" w:cs="Arial"/>
          <w:iCs/>
          <w:sz w:val="24"/>
          <w:szCs w:val="24"/>
        </w:rPr>
        <w:t>El fallo de Córdoba somete a consideración un caso de responsabilidad por omisión del Estado, esto es que frente a una obligación de hacer, el Estado no ha cumplido con la misma, ello así por aplicación del art.1112 del Código Civil</w:t>
      </w:r>
      <w:r w:rsidR="008B1E6A">
        <w:rPr>
          <w:rFonts w:ascii="Arial" w:hAnsi="Arial" w:cs="Arial"/>
          <w:iCs/>
          <w:sz w:val="24"/>
          <w:szCs w:val="24"/>
        </w:rPr>
        <w:t xml:space="preserve"> (hoy </w:t>
      </w:r>
      <w:r w:rsidRPr="00695713">
        <w:rPr>
          <w:rFonts w:ascii="Arial" w:hAnsi="Arial" w:cs="Arial"/>
          <w:iCs/>
          <w:sz w:val="24"/>
          <w:szCs w:val="24"/>
        </w:rPr>
        <w:t>1766 del C.C. y C</w:t>
      </w:r>
      <w:r w:rsidR="008B1E6A">
        <w:rPr>
          <w:rFonts w:ascii="Arial" w:hAnsi="Arial" w:cs="Arial"/>
          <w:iCs/>
          <w:sz w:val="24"/>
          <w:szCs w:val="24"/>
        </w:rPr>
        <w:t>)</w:t>
      </w:r>
      <w:r w:rsidR="000466FC">
        <w:rPr>
          <w:rFonts w:ascii="Arial" w:hAnsi="Arial" w:cs="Arial"/>
          <w:iCs/>
          <w:sz w:val="24"/>
          <w:szCs w:val="24"/>
        </w:rPr>
        <w:t>.</w:t>
      </w:r>
    </w:p>
    <w:p w:rsidR="00695713" w:rsidRPr="00695713" w:rsidRDefault="00695713" w:rsidP="00C80EAC">
      <w:pPr>
        <w:tabs>
          <w:tab w:val="left" w:pos="1701"/>
        </w:tabs>
        <w:spacing w:line="480" w:lineRule="auto"/>
        <w:jc w:val="both"/>
        <w:rPr>
          <w:rFonts w:ascii="Arial" w:hAnsi="Arial" w:cs="Arial"/>
          <w:iCs/>
          <w:sz w:val="24"/>
          <w:szCs w:val="24"/>
        </w:rPr>
      </w:pPr>
    </w:p>
    <w:p w:rsidR="00695713" w:rsidRDefault="00695713" w:rsidP="00C80EAC">
      <w:pPr>
        <w:tabs>
          <w:tab w:val="left" w:pos="1701"/>
        </w:tabs>
        <w:spacing w:line="480" w:lineRule="auto"/>
        <w:jc w:val="both"/>
        <w:rPr>
          <w:rFonts w:ascii="Arial" w:hAnsi="Arial" w:cs="Arial"/>
          <w:iCs/>
          <w:sz w:val="24"/>
          <w:szCs w:val="24"/>
        </w:rPr>
      </w:pPr>
      <w:r w:rsidRPr="00695713">
        <w:rPr>
          <w:rFonts w:ascii="Arial" w:hAnsi="Arial" w:cs="Arial"/>
          <w:iCs/>
          <w:sz w:val="24"/>
          <w:szCs w:val="24"/>
        </w:rPr>
        <w:tab/>
        <w:t>En el fallo Quiñones</w:t>
      </w:r>
      <w:r>
        <w:rPr>
          <w:rFonts w:ascii="Arial" w:hAnsi="Arial" w:cs="Arial"/>
          <w:iCs/>
          <w:sz w:val="24"/>
          <w:szCs w:val="24"/>
        </w:rPr>
        <w:t>, también</w:t>
      </w:r>
      <w:r w:rsidRPr="00695713">
        <w:rPr>
          <w:rFonts w:ascii="Arial" w:hAnsi="Arial" w:cs="Arial"/>
          <w:iCs/>
          <w:sz w:val="24"/>
          <w:szCs w:val="24"/>
        </w:rPr>
        <w:t xml:space="preserve"> la obligación incumplida fue la obligación genérica de seguridad.</w:t>
      </w:r>
    </w:p>
    <w:p w:rsidR="008B1E6A" w:rsidRDefault="008B1E6A" w:rsidP="00C80EAC">
      <w:pPr>
        <w:tabs>
          <w:tab w:val="left" w:pos="1701"/>
        </w:tabs>
        <w:spacing w:line="480" w:lineRule="auto"/>
        <w:jc w:val="both"/>
        <w:rPr>
          <w:rFonts w:ascii="Arial" w:hAnsi="Arial" w:cs="Arial"/>
          <w:iCs/>
          <w:sz w:val="24"/>
          <w:szCs w:val="24"/>
        </w:rPr>
      </w:pPr>
    </w:p>
    <w:p w:rsidR="008B1E6A" w:rsidRPr="008B1E6A" w:rsidRDefault="008B1E6A" w:rsidP="00C80EAC">
      <w:pPr>
        <w:tabs>
          <w:tab w:val="left" w:pos="1701"/>
        </w:tabs>
        <w:spacing w:line="480" w:lineRule="auto"/>
        <w:jc w:val="both"/>
        <w:rPr>
          <w:rFonts w:ascii="Arial" w:hAnsi="Arial" w:cs="Arial"/>
          <w:iCs/>
          <w:sz w:val="24"/>
          <w:szCs w:val="24"/>
        </w:rPr>
      </w:pPr>
      <w:r>
        <w:rPr>
          <w:rFonts w:ascii="Arial" w:hAnsi="Arial" w:cs="Arial"/>
          <w:iCs/>
          <w:sz w:val="24"/>
          <w:szCs w:val="24"/>
        </w:rPr>
        <w:tab/>
      </w:r>
      <w:r w:rsidRPr="008B1E6A">
        <w:rPr>
          <w:rFonts w:ascii="Arial" w:hAnsi="Arial" w:cs="Arial"/>
          <w:iCs/>
          <w:sz w:val="24"/>
          <w:szCs w:val="24"/>
        </w:rPr>
        <w:t>El decisorio establece que “el deber del Estado de adoptar medidas de prevención y protección está condicionado, según la Corte, por el conocimiento de una situación de riesgo real e inmediato para un individuo o grupos de individuos determinado y por la posibilidad razonable de prevenir y evitar ese riesgo”.</w:t>
      </w:r>
    </w:p>
    <w:p w:rsidR="008B1E6A" w:rsidRPr="008B1E6A" w:rsidRDefault="008B1E6A" w:rsidP="00C80EAC">
      <w:pPr>
        <w:tabs>
          <w:tab w:val="left" w:pos="1701"/>
        </w:tabs>
        <w:spacing w:line="480" w:lineRule="auto"/>
        <w:jc w:val="both"/>
        <w:rPr>
          <w:rFonts w:ascii="Arial" w:hAnsi="Arial" w:cs="Arial"/>
          <w:iCs/>
          <w:sz w:val="24"/>
          <w:szCs w:val="24"/>
        </w:rPr>
      </w:pPr>
    </w:p>
    <w:p w:rsidR="008B1E6A" w:rsidRPr="008B1E6A" w:rsidRDefault="00C80EAC" w:rsidP="00C80EAC">
      <w:pPr>
        <w:tabs>
          <w:tab w:val="left" w:pos="1701"/>
        </w:tabs>
        <w:spacing w:line="480" w:lineRule="auto"/>
        <w:jc w:val="both"/>
        <w:rPr>
          <w:rFonts w:ascii="Arial" w:hAnsi="Arial" w:cs="Arial"/>
          <w:iCs/>
          <w:sz w:val="24"/>
          <w:szCs w:val="24"/>
        </w:rPr>
      </w:pPr>
      <w:r>
        <w:rPr>
          <w:rFonts w:ascii="Arial" w:hAnsi="Arial" w:cs="Arial"/>
          <w:b/>
          <w:i/>
          <w:iCs/>
          <w:sz w:val="24"/>
          <w:szCs w:val="24"/>
        </w:rPr>
        <w:tab/>
      </w:r>
      <w:r w:rsidR="008B1E6A" w:rsidRPr="008B1E6A">
        <w:rPr>
          <w:rFonts w:ascii="Arial" w:hAnsi="Arial" w:cs="Arial"/>
          <w:b/>
          <w:i/>
          <w:iCs/>
          <w:sz w:val="24"/>
          <w:szCs w:val="24"/>
        </w:rPr>
        <w:t>La doctrina del riesgo previsible y evitable</w:t>
      </w:r>
      <w:r w:rsidR="008B1E6A" w:rsidRPr="008B1E6A">
        <w:rPr>
          <w:rFonts w:ascii="Arial" w:hAnsi="Arial" w:cs="Arial"/>
          <w:iCs/>
          <w:sz w:val="24"/>
          <w:szCs w:val="24"/>
        </w:rPr>
        <w:t xml:space="preserve"> requiere, al menos de la existencia de los siguientes elementos:</w:t>
      </w:r>
    </w:p>
    <w:p w:rsidR="008B1E6A" w:rsidRPr="008B1E6A" w:rsidRDefault="008B1E6A" w:rsidP="00C80EAC">
      <w:pPr>
        <w:tabs>
          <w:tab w:val="left" w:pos="1701"/>
        </w:tabs>
        <w:spacing w:line="480" w:lineRule="auto"/>
        <w:jc w:val="both"/>
        <w:rPr>
          <w:rFonts w:ascii="Arial" w:hAnsi="Arial" w:cs="Arial"/>
          <w:iCs/>
          <w:sz w:val="24"/>
          <w:szCs w:val="24"/>
        </w:rPr>
      </w:pPr>
      <w:r w:rsidRPr="008B1E6A">
        <w:rPr>
          <w:rFonts w:ascii="Arial" w:hAnsi="Arial" w:cs="Arial"/>
          <w:iCs/>
          <w:sz w:val="24"/>
          <w:szCs w:val="24"/>
        </w:rPr>
        <w:t>1)  que exista una situación de riesgo real o inmediato que amenace derechos y que surja de la acción o las prácticas de particulares; se requiere que el riesgo no sea meramente hipotético o eventual y además</w:t>
      </w:r>
      <w:r w:rsidR="00635591">
        <w:rPr>
          <w:rFonts w:ascii="Arial" w:hAnsi="Arial" w:cs="Arial"/>
          <w:iCs/>
          <w:sz w:val="24"/>
          <w:szCs w:val="24"/>
        </w:rPr>
        <w:t>,</w:t>
      </w:r>
      <w:r w:rsidRPr="008B1E6A">
        <w:rPr>
          <w:rFonts w:ascii="Arial" w:hAnsi="Arial" w:cs="Arial"/>
          <w:iCs/>
          <w:sz w:val="24"/>
          <w:szCs w:val="24"/>
        </w:rPr>
        <w:t xml:space="preserve"> que no sea remoto, sino que tenga posibilidad cierta de materializarse de inmediato. </w:t>
      </w:r>
    </w:p>
    <w:p w:rsidR="008B1E6A" w:rsidRPr="008B1E6A" w:rsidRDefault="008B1E6A" w:rsidP="00C80EAC">
      <w:pPr>
        <w:tabs>
          <w:tab w:val="left" w:pos="1701"/>
        </w:tabs>
        <w:spacing w:line="480" w:lineRule="auto"/>
        <w:jc w:val="both"/>
        <w:rPr>
          <w:rFonts w:ascii="Arial" w:hAnsi="Arial" w:cs="Arial"/>
          <w:iCs/>
          <w:sz w:val="24"/>
          <w:szCs w:val="24"/>
        </w:rPr>
      </w:pPr>
      <w:r w:rsidRPr="008B1E6A">
        <w:rPr>
          <w:rFonts w:ascii="Arial" w:hAnsi="Arial" w:cs="Arial"/>
          <w:iCs/>
          <w:sz w:val="24"/>
          <w:szCs w:val="24"/>
        </w:rPr>
        <w:t xml:space="preserve">2) que la situación de riesgo amenace a un individuo o a un grupo determinado, es decir, que exista un riesgo particularizado; </w:t>
      </w:r>
    </w:p>
    <w:p w:rsidR="008B1E6A" w:rsidRPr="008B1E6A" w:rsidRDefault="008B1E6A" w:rsidP="00C80EAC">
      <w:pPr>
        <w:tabs>
          <w:tab w:val="left" w:pos="1701"/>
        </w:tabs>
        <w:spacing w:line="480" w:lineRule="auto"/>
        <w:jc w:val="both"/>
        <w:rPr>
          <w:rFonts w:ascii="Arial" w:hAnsi="Arial" w:cs="Arial"/>
          <w:iCs/>
          <w:sz w:val="24"/>
          <w:szCs w:val="24"/>
        </w:rPr>
      </w:pPr>
      <w:r w:rsidRPr="008B1E6A">
        <w:rPr>
          <w:rFonts w:ascii="Arial" w:hAnsi="Arial" w:cs="Arial"/>
          <w:iCs/>
          <w:sz w:val="24"/>
          <w:szCs w:val="24"/>
        </w:rPr>
        <w:lastRenderedPageBreak/>
        <w:t xml:space="preserve">3) que el Estado conozca el riesgo o hubiera debido razonablemente conocerlo o preverlo; </w:t>
      </w:r>
    </w:p>
    <w:p w:rsidR="008B1E6A" w:rsidRDefault="008B1E6A" w:rsidP="00C80EAC">
      <w:pPr>
        <w:tabs>
          <w:tab w:val="left" w:pos="1701"/>
        </w:tabs>
        <w:spacing w:line="480" w:lineRule="auto"/>
        <w:jc w:val="both"/>
        <w:rPr>
          <w:rFonts w:ascii="Arial" w:hAnsi="Arial" w:cs="Arial"/>
          <w:iCs/>
          <w:sz w:val="24"/>
          <w:szCs w:val="24"/>
        </w:rPr>
      </w:pPr>
      <w:r w:rsidRPr="008B1E6A">
        <w:rPr>
          <w:rFonts w:ascii="Arial" w:hAnsi="Arial" w:cs="Arial"/>
          <w:iCs/>
          <w:sz w:val="24"/>
          <w:szCs w:val="24"/>
        </w:rPr>
        <w:t xml:space="preserve">4) finalmente que el Estado pueda razonablemente prevenir o evitar la materialización del riesgo. </w:t>
      </w:r>
    </w:p>
    <w:p w:rsidR="00670390" w:rsidRPr="008B1E6A" w:rsidRDefault="00670390" w:rsidP="00C80EAC">
      <w:pPr>
        <w:tabs>
          <w:tab w:val="left" w:pos="1701"/>
        </w:tabs>
        <w:spacing w:line="480" w:lineRule="auto"/>
        <w:jc w:val="both"/>
        <w:rPr>
          <w:rFonts w:ascii="Arial" w:hAnsi="Arial" w:cs="Arial"/>
          <w:iCs/>
          <w:sz w:val="24"/>
          <w:szCs w:val="24"/>
        </w:rPr>
      </w:pPr>
    </w:p>
    <w:p w:rsidR="008B1E6A" w:rsidRPr="008B1E6A" w:rsidRDefault="008B1E6A" w:rsidP="00C80EAC">
      <w:pPr>
        <w:tabs>
          <w:tab w:val="left" w:pos="1701"/>
        </w:tabs>
        <w:spacing w:line="480" w:lineRule="auto"/>
        <w:jc w:val="both"/>
        <w:rPr>
          <w:rFonts w:ascii="Arial" w:hAnsi="Arial" w:cs="Arial"/>
          <w:iCs/>
          <w:sz w:val="24"/>
          <w:szCs w:val="24"/>
        </w:rPr>
      </w:pPr>
      <w:r>
        <w:rPr>
          <w:rFonts w:ascii="Arial" w:hAnsi="Arial" w:cs="Arial"/>
          <w:iCs/>
          <w:sz w:val="24"/>
          <w:szCs w:val="24"/>
        </w:rPr>
        <w:tab/>
        <w:t>Resulta entonces que</w:t>
      </w:r>
      <w:r w:rsidRPr="008B1E6A">
        <w:rPr>
          <w:rFonts w:ascii="Arial" w:hAnsi="Arial" w:cs="Arial"/>
          <w:iCs/>
          <w:sz w:val="24"/>
          <w:szCs w:val="24"/>
        </w:rPr>
        <w:t xml:space="preserve">, en los casos de violencia basados en el género, el Estado es garante frente a la existencia </w:t>
      </w:r>
      <w:r w:rsidR="000466FC">
        <w:rPr>
          <w:rFonts w:ascii="Arial" w:hAnsi="Arial" w:cs="Arial"/>
          <w:iCs/>
          <w:sz w:val="24"/>
          <w:szCs w:val="24"/>
        </w:rPr>
        <w:t>de riesgo de la violencia ejercida</w:t>
      </w:r>
      <w:r w:rsidRPr="008B1E6A">
        <w:rPr>
          <w:rFonts w:ascii="Arial" w:hAnsi="Arial" w:cs="Arial"/>
          <w:iCs/>
          <w:sz w:val="24"/>
          <w:szCs w:val="24"/>
        </w:rPr>
        <w:t xml:space="preserve"> en éste tipo de hechos, en particular.</w:t>
      </w:r>
    </w:p>
    <w:p w:rsidR="008B1E6A" w:rsidRPr="008B1E6A" w:rsidRDefault="008B1E6A" w:rsidP="00C80EAC">
      <w:pPr>
        <w:tabs>
          <w:tab w:val="left" w:pos="1701"/>
        </w:tabs>
        <w:spacing w:line="480" w:lineRule="auto"/>
        <w:jc w:val="both"/>
        <w:rPr>
          <w:rFonts w:ascii="Arial" w:hAnsi="Arial" w:cs="Arial"/>
          <w:iCs/>
          <w:sz w:val="24"/>
          <w:szCs w:val="24"/>
        </w:rPr>
      </w:pPr>
    </w:p>
    <w:p w:rsidR="008B1E6A" w:rsidRDefault="008B1E6A" w:rsidP="00C80EAC">
      <w:pPr>
        <w:tabs>
          <w:tab w:val="left" w:pos="1701"/>
        </w:tabs>
        <w:spacing w:line="480" w:lineRule="auto"/>
        <w:jc w:val="both"/>
        <w:rPr>
          <w:rFonts w:ascii="Arial" w:hAnsi="Arial" w:cs="Arial"/>
          <w:iCs/>
          <w:sz w:val="24"/>
          <w:szCs w:val="24"/>
        </w:rPr>
      </w:pPr>
      <w:r w:rsidRPr="008B1E6A">
        <w:rPr>
          <w:rFonts w:ascii="Arial" w:hAnsi="Arial" w:cs="Arial"/>
          <w:iCs/>
          <w:sz w:val="24"/>
          <w:szCs w:val="24"/>
        </w:rPr>
        <w:tab/>
        <w:t>Que sea garante significa dar una respuesta efectiva en los casos de éste tipo, fortaleciendo las instituciones para amparar a la mujer de este tipo de agresiones.</w:t>
      </w:r>
    </w:p>
    <w:p w:rsidR="008B1E6A" w:rsidRDefault="008B1E6A" w:rsidP="00C80EAC">
      <w:pPr>
        <w:tabs>
          <w:tab w:val="left" w:pos="1701"/>
        </w:tabs>
        <w:spacing w:line="480" w:lineRule="auto"/>
        <w:jc w:val="both"/>
        <w:rPr>
          <w:rFonts w:ascii="Arial" w:hAnsi="Arial" w:cs="Arial"/>
          <w:iCs/>
          <w:sz w:val="24"/>
          <w:szCs w:val="24"/>
        </w:rPr>
      </w:pPr>
    </w:p>
    <w:p w:rsidR="00CA7FB0" w:rsidRDefault="008B1E6A" w:rsidP="00C80EAC">
      <w:pPr>
        <w:tabs>
          <w:tab w:val="left" w:pos="1701"/>
        </w:tabs>
        <w:spacing w:line="480" w:lineRule="auto"/>
        <w:jc w:val="both"/>
        <w:rPr>
          <w:rFonts w:ascii="Arial" w:hAnsi="Arial" w:cs="Arial"/>
          <w:sz w:val="24"/>
          <w:szCs w:val="24"/>
        </w:rPr>
      </w:pPr>
      <w:r>
        <w:rPr>
          <w:rFonts w:ascii="Arial" w:hAnsi="Arial" w:cs="Arial"/>
          <w:iCs/>
          <w:sz w:val="24"/>
          <w:szCs w:val="24"/>
        </w:rPr>
        <w:tab/>
        <w:t xml:space="preserve">En el caso Quiñones, la sentencia </w:t>
      </w:r>
      <w:r w:rsidR="00C80EAC">
        <w:rPr>
          <w:rFonts w:ascii="Arial" w:hAnsi="Arial" w:cs="Arial"/>
          <w:iCs/>
          <w:sz w:val="24"/>
          <w:szCs w:val="24"/>
        </w:rPr>
        <w:t>tuvo por</w:t>
      </w:r>
      <w:r w:rsidR="00D649C4">
        <w:rPr>
          <w:rFonts w:ascii="Arial" w:hAnsi="Arial" w:cs="Arial"/>
          <w:iCs/>
          <w:sz w:val="24"/>
          <w:szCs w:val="24"/>
        </w:rPr>
        <w:t xml:space="preserve"> acreditado </w:t>
      </w:r>
      <w:r w:rsidRPr="00D649C4">
        <w:rPr>
          <w:rFonts w:ascii="Arial" w:hAnsi="Arial" w:cs="Arial"/>
          <w:sz w:val="24"/>
          <w:szCs w:val="24"/>
        </w:rPr>
        <w:t>el nexo causal - entre la omisión del Estado y el resultado dañoso-</w:t>
      </w:r>
      <w:r w:rsidR="00D649C4">
        <w:rPr>
          <w:rFonts w:ascii="Arial" w:hAnsi="Arial" w:cs="Arial"/>
          <w:sz w:val="24"/>
          <w:szCs w:val="24"/>
        </w:rPr>
        <w:t>, que en el caso fue la muerte de María B</w:t>
      </w:r>
      <w:r w:rsidR="00C80EAC">
        <w:rPr>
          <w:rFonts w:ascii="Arial" w:hAnsi="Arial" w:cs="Arial"/>
          <w:sz w:val="24"/>
          <w:szCs w:val="24"/>
        </w:rPr>
        <w:t xml:space="preserve">elén Quiñones y su pequeño hijo. </w:t>
      </w:r>
    </w:p>
    <w:p w:rsidR="00CA7FB0" w:rsidRDefault="00CA7FB0" w:rsidP="00C80EAC">
      <w:pPr>
        <w:tabs>
          <w:tab w:val="left" w:pos="1701"/>
        </w:tabs>
        <w:spacing w:line="480" w:lineRule="auto"/>
        <w:jc w:val="both"/>
        <w:rPr>
          <w:rFonts w:ascii="Arial" w:hAnsi="Arial" w:cs="Arial"/>
          <w:sz w:val="24"/>
          <w:szCs w:val="24"/>
        </w:rPr>
      </w:pPr>
    </w:p>
    <w:p w:rsidR="007D0037" w:rsidRDefault="00CA7FB0" w:rsidP="00C80EAC">
      <w:pPr>
        <w:tabs>
          <w:tab w:val="left" w:pos="1701"/>
        </w:tabs>
        <w:spacing w:line="480" w:lineRule="auto"/>
        <w:jc w:val="both"/>
        <w:rPr>
          <w:rFonts w:ascii="Arial" w:hAnsi="Arial" w:cs="Arial"/>
          <w:sz w:val="24"/>
          <w:szCs w:val="24"/>
        </w:rPr>
      </w:pPr>
      <w:r>
        <w:rPr>
          <w:rFonts w:ascii="Arial" w:hAnsi="Arial" w:cs="Arial"/>
          <w:sz w:val="24"/>
          <w:szCs w:val="24"/>
        </w:rPr>
        <w:tab/>
      </w:r>
      <w:r w:rsidR="00C80EAC">
        <w:rPr>
          <w:rFonts w:ascii="Arial" w:hAnsi="Arial" w:cs="Arial"/>
          <w:sz w:val="24"/>
          <w:szCs w:val="24"/>
        </w:rPr>
        <w:t>S</w:t>
      </w:r>
      <w:r w:rsidR="008B1E6A" w:rsidRPr="00D649C4">
        <w:rPr>
          <w:rFonts w:ascii="Arial" w:hAnsi="Arial" w:cs="Arial"/>
          <w:sz w:val="24"/>
          <w:szCs w:val="24"/>
        </w:rPr>
        <w:t xml:space="preserve">e </w:t>
      </w:r>
      <w:r w:rsidR="00C80EAC">
        <w:rPr>
          <w:rFonts w:ascii="Arial" w:hAnsi="Arial" w:cs="Arial"/>
          <w:sz w:val="24"/>
          <w:szCs w:val="24"/>
        </w:rPr>
        <w:t>tuvo por</w:t>
      </w:r>
      <w:r w:rsidR="00D649C4">
        <w:rPr>
          <w:rFonts w:ascii="Arial" w:hAnsi="Arial" w:cs="Arial"/>
          <w:sz w:val="24"/>
          <w:szCs w:val="24"/>
        </w:rPr>
        <w:t xml:space="preserve"> acreditado</w:t>
      </w:r>
      <w:r w:rsidR="008B1E6A" w:rsidRPr="00D649C4">
        <w:rPr>
          <w:rFonts w:ascii="Arial" w:hAnsi="Arial" w:cs="Arial"/>
          <w:sz w:val="24"/>
          <w:szCs w:val="24"/>
        </w:rPr>
        <w:t xml:space="preserve"> que la víctima rea</w:t>
      </w:r>
      <w:r w:rsidR="00C80EAC">
        <w:rPr>
          <w:rFonts w:ascii="Arial" w:hAnsi="Arial" w:cs="Arial"/>
          <w:sz w:val="24"/>
          <w:szCs w:val="24"/>
        </w:rPr>
        <w:t>lizó varias denuncias que no fueron</w:t>
      </w:r>
      <w:r w:rsidR="008B1E6A" w:rsidRPr="00D649C4">
        <w:rPr>
          <w:rFonts w:ascii="Arial" w:hAnsi="Arial" w:cs="Arial"/>
          <w:sz w:val="24"/>
          <w:szCs w:val="24"/>
        </w:rPr>
        <w:t xml:space="preserve"> tenidas en cuenta, ante lo cual el estado debió promover inmediatamente la investigación y persecución penal del denunciado y otorgar protección y seguridad a María Belén Quiñones y su hijo</w:t>
      </w:r>
      <w:r w:rsidR="00C80EAC">
        <w:rPr>
          <w:rFonts w:ascii="Arial" w:hAnsi="Arial" w:cs="Arial"/>
          <w:sz w:val="24"/>
          <w:szCs w:val="24"/>
        </w:rPr>
        <w:t>,</w:t>
      </w:r>
      <w:r w:rsidR="008B1E6A" w:rsidRPr="00D649C4">
        <w:rPr>
          <w:rFonts w:ascii="Arial" w:hAnsi="Arial" w:cs="Arial"/>
          <w:sz w:val="24"/>
          <w:szCs w:val="24"/>
        </w:rPr>
        <w:t xml:space="preserve"> lo que no hizo</w:t>
      </w:r>
      <w:r w:rsidR="00D649C4">
        <w:rPr>
          <w:rFonts w:ascii="Arial" w:hAnsi="Arial" w:cs="Arial"/>
          <w:sz w:val="24"/>
          <w:szCs w:val="24"/>
        </w:rPr>
        <w:t>.</w:t>
      </w:r>
    </w:p>
    <w:p w:rsidR="00670390" w:rsidRDefault="00670390" w:rsidP="00C80EAC">
      <w:pPr>
        <w:tabs>
          <w:tab w:val="left" w:pos="1701"/>
        </w:tabs>
        <w:spacing w:line="480" w:lineRule="auto"/>
        <w:jc w:val="both"/>
        <w:rPr>
          <w:rFonts w:ascii="Arial" w:hAnsi="Arial" w:cs="Arial"/>
          <w:b/>
          <w:i/>
          <w:iCs/>
          <w:sz w:val="24"/>
          <w:szCs w:val="24"/>
          <w:u w:val="single"/>
        </w:rPr>
      </w:pPr>
    </w:p>
    <w:p w:rsidR="00670390" w:rsidRDefault="00670390" w:rsidP="00C80EAC">
      <w:pPr>
        <w:tabs>
          <w:tab w:val="left" w:pos="1701"/>
        </w:tabs>
        <w:spacing w:line="480" w:lineRule="auto"/>
        <w:jc w:val="both"/>
        <w:rPr>
          <w:rFonts w:ascii="Arial" w:hAnsi="Arial" w:cs="Arial"/>
          <w:b/>
          <w:i/>
          <w:iCs/>
          <w:sz w:val="24"/>
          <w:szCs w:val="24"/>
        </w:rPr>
      </w:pPr>
      <w:r>
        <w:rPr>
          <w:rFonts w:ascii="Arial" w:hAnsi="Arial" w:cs="Arial"/>
          <w:b/>
          <w:i/>
          <w:iCs/>
          <w:sz w:val="24"/>
          <w:szCs w:val="24"/>
        </w:rPr>
        <w:lastRenderedPageBreak/>
        <w:t>CONCLUSION</w:t>
      </w:r>
    </w:p>
    <w:p w:rsidR="00670390" w:rsidRDefault="00670390" w:rsidP="00C80EAC">
      <w:pPr>
        <w:tabs>
          <w:tab w:val="left" w:pos="1701"/>
        </w:tabs>
        <w:spacing w:line="480" w:lineRule="auto"/>
        <w:jc w:val="both"/>
        <w:rPr>
          <w:rFonts w:ascii="Arial" w:hAnsi="Arial" w:cs="Arial"/>
          <w:iCs/>
          <w:sz w:val="24"/>
          <w:szCs w:val="24"/>
        </w:rPr>
      </w:pPr>
      <w:r w:rsidRPr="00670390">
        <w:rPr>
          <w:rFonts w:ascii="Arial" w:hAnsi="Arial" w:cs="Arial"/>
          <w:iCs/>
          <w:sz w:val="24"/>
          <w:szCs w:val="24"/>
        </w:rPr>
        <w:t>El Estado tiene responsabilidad en los casos de violencia de género</w:t>
      </w:r>
      <w:r w:rsidR="000466FC">
        <w:rPr>
          <w:rFonts w:ascii="Arial" w:hAnsi="Arial" w:cs="Arial"/>
          <w:iCs/>
          <w:sz w:val="24"/>
          <w:szCs w:val="24"/>
        </w:rPr>
        <w:t>,</w:t>
      </w:r>
      <w:r w:rsidR="000D1D72">
        <w:rPr>
          <w:rFonts w:ascii="Arial" w:hAnsi="Arial" w:cs="Arial"/>
          <w:iCs/>
          <w:sz w:val="24"/>
          <w:szCs w:val="24"/>
        </w:rPr>
        <w:t>siempre que:</w:t>
      </w:r>
    </w:p>
    <w:p w:rsidR="000D1D72" w:rsidRPr="000D1D72" w:rsidRDefault="000D1D72" w:rsidP="000D1D72">
      <w:pPr>
        <w:tabs>
          <w:tab w:val="left" w:pos="1701"/>
        </w:tabs>
        <w:spacing w:line="480" w:lineRule="auto"/>
        <w:jc w:val="both"/>
        <w:rPr>
          <w:rFonts w:ascii="Arial" w:hAnsi="Arial" w:cs="Arial"/>
          <w:iCs/>
          <w:sz w:val="24"/>
          <w:szCs w:val="24"/>
        </w:rPr>
      </w:pPr>
      <w:r>
        <w:rPr>
          <w:rFonts w:ascii="Arial" w:hAnsi="Arial" w:cs="Arial"/>
          <w:iCs/>
          <w:sz w:val="24"/>
          <w:szCs w:val="24"/>
        </w:rPr>
        <w:t xml:space="preserve">* </w:t>
      </w:r>
      <w:r w:rsidRPr="000D1D72">
        <w:rPr>
          <w:rFonts w:ascii="Arial" w:hAnsi="Arial" w:cs="Arial"/>
          <w:iCs/>
          <w:sz w:val="24"/>
          <w:szCs w:val="24"/>
        </w:rPr>
        <w:t>exista una situación de riesgo real o inmediato que amenace derechos y que surja de la acción o las prácticas de particulares; se requiere que el riesgo no sea meramente hipotético o eventual y además que no sea remoto, sino que tenga posibilidad cierta d</w:t>
      </w:r>
      <w:r w:rsidR="000466FC">
        <w:rPr>
          <w:rFonts w:ascii="Arial" w:hAnsi="Arial" w:cs="Arial"/>
          <w:iCs/>
          <w:sz w:val="24"/>
          <w:szCs w:val="24"/>
        </w:rPr>
        <w:t>e materializarse de inmediato;</w:t>
      </w:r>
    </w:p>
    <w:p w:rsidR="000D1D72" w:rsidRPr="000D1D72" w:rsidRDefault="000D1D72" w:rsidP="000D1D72">
      <w:pPr>
        <w:tabs>
          <w:tab w:val="left" w:pos="1701"/>
        </w:tabs>
        <w:spacing w:line="480" w:lineRule="auto"/>
        <w:jc w:val="both"/>
        <w:rPr>
          <w:rFonts w:ascii="Arial" w:hAnsi="Arial" w:cs="Arial"/>
          <w:iCs/>
          <w:sz w:val="24"/>
          <w:szCs w:val="24"/>
        </w:rPr>
      </w:pPr>
      <w:r>
        <w:rPr>
          <w:rFonts w:ascii="Arial" w:hAnsi="Arial" w:cs="Arial"/>
          <w:iCs/>
          <w:sz w:val="24"/>
          <w:szCs w:val="24"/>
        </w:rPr>
        <w:t>*</w:t>
      </w:r>
      <w:r w:rsidRPr="000D1D72">
        <w:rPr>
          <w:rFonts w:ascii="Arial" w:hAnsi="Arial" w:cs="Arial"/>
          <w:iCs/>
          <w:sz w:val="24"/>
          <w:szCs w:val="24"/>
        </w:rPr>
        <w:t xml:space="preserve"> Que la situación de riesgo amenace a un individuo o a un grupo determinado, es decir, que exista un riesgo particularizado; </w:t>
      </w:r>
    </w:p>
    <w:p w:rsidR="000D1D72" w:rsidRPr="000D1D72" w:rsidRDefault="000D1D72" w:rsidP="000D1D72">
      <w:pPr>
        <w:tabs>
          <w:tab w:val="left" w:pos="1701"/>
        </w:tabs>
        <w:spacing w:line="480" w:lineRule="auto"/>
        <w:jc w:val="both"/>
        <w:rPr>
          <w:rFonts w:ascii="Arial" w:hAnsi="Arial" w:cs="Arial"/>
          <w:iCs/>
          <w:sz w:val="24"/>
          <w:szCs w:val="24"/>
        </w:rPr>
      </w:pPr>
      <w:r>
        <w:rPr>
          <w:rFonts w:ascii="Arial" w:hAnsi="Arial" w:cs="Arial"/>
          <w:iCs/>
          <w:sz w:val="24"/>
          <w:szCs w:val="24"/>
        </w:rPr>
        <w:t>*</w:t>
      </w:r>
      <w:r w:rsidRPr="000D1D72">
        <w:rPr>
          <w:rFonts w:ascii="Arial" w:hAnsi="Arial" w:cs="Arial"/>
          <w:iCs/>
          <w:sz w:val="24"/>
          <w:szCs w:val="24"/>
        </w:rPr>
        <w:t xml:space="preserve"> Que el Estado conozca el riesgo o hubiera debido razonablemente conocerlo o preverlo; </w:t>
      </w:r>
    </w:p>
    <w:p w:rsidR="000D1D72" w:rsidRDefault="000D1D72" w:rsidP="000D1D72">
      <w:pPr>
        <w:tabs>
          <w:tab w:val="left" w:pos="1701"/>
        </w:tabs>
        <w:spacing w:line="480" w:lineRule="auto"/>
        <w:jc w:val="both"/>
        <w:rPr>
          <w:rFonts w:ascii="Arial" w:hAnsi="Arial" w:cs="Arial"/>
          <w:iCs/>
          <w:sz w:val="24"/>
          <w:szCs w:val="24"/>
        </w:rPr>
      </w:pPr>
      <w:r>
        <w:rPr>
          <w:rFonts w:ascii="Arial" w:hAnsi="Arial" w:cs="Arial"/>
          <w:iCs/>
          <w:sz w:val="24"/>
          <w:szCs w:val="24"/>
        </w:rPr>
        <w:t>*</w:t>
      </w:r>
      <w:r w:rsidRPr="000D1D72">
        <w:rPr>
          <w:rFonts w:ascii="Arial" w:hAnsi="Arial" w:cs="Arial"/>
          <w:iCs/>
          <w:sz w:val="24"/>
          <w:szCs w:val="24"/>
        </w:rPr>
        <w:t xml:space="preserve"> Finalmente que el Estado pueda razonablemente prevenir o evitar la materialización del riesgo.</w:t>
      </w:r>
    </w:p>
    <w:p w:rsidR="000D1D72" w:rsidRDefault="000D1D72" w:rsidP="000D1D72">
      <w:pPr>
        <w:tabs>
          <w:tab w:val="left" w:pos="1701"/>
        </w:tabs>
        <w:spacing w:line="480" w:lineRule="auto"/>
        <w:jc w:val="both"/>
        <w:rPr>
          <w:rFonts w:ascii="Arial" w:hAnsi="Arial" w:cs="Arial"/>
          <w:iCs/>
          <w:sz w:val="24"/>
          <w:szCs w:val="24"/>
        </w:rPr>
      </w:pPr>
    </w:p>
    <w:p w:rsidR="000D1D72" w:rsidRDefault="000D1D72" w:rsidP="000D1D72">
      <w:pPr>
        <w:tabs>
          <w:tab w:val="left" w:pos="1701"/>
        </w:tabs>
        <w:spacing w:line="480" w:lineRule="auto"/>
        <w:jc w:val="both"/>
        <w:rPr>
          <w:rFonts w:ascii="Arial" w:hAnsi="Arial" w:cs="Arial"/>
          <w:i/>
          <w:iCs/>
          <w:sz w:val="24"/>
          <w:szCs w:val="24"/>
        </w:rPr>
      </w:pPr>
      <w:r>
        <w:rPr>
          <w:rFonts w:ascii="Arial" w:hAnsi="Arial" w:cs="Arial"/>
          <w:iCs/>
          <w:sz w:val="24"/>
          <w:szCs w:val="24"/>
        </w:rPr>
        <w:tab/>
        <w:t xml:space="preserve">Para finalizar, quiero referirme al </w:t>
      </w:r>
      <w:r w:rsidRPr="000D1D72">
        <w:rPr>
          <w:rFonts w:ascii="Arial" w:hAnsi="Arial" w:cs="Arial"/>
          <w:sz w:val="24"/>
          <w:szCs w:val="24"/>
        </w:rPr>
        <w:t xml:space="preserve">Informe de la Organización Panamericana de la Salud del año 2013 (“Resumen del Informe “Violencia contra la Mujer” en América Latina y el Caribe- Análisis comparativo de datos poblacionales de 12 países”,  de Sarah Botti, AlessandraGuedes, Mary Goddwin y Jennifer Adams Mendoza) </w:t>
      </w:r>
      <w:r>
        <w:rPr>
          <w:rFonts w:ascii="Arial" w:hAnsi="Arial" w:cs="Arial"/>
          <w:sz w:val="24"/>
          <w:szCs w:val="24"/>
        </w:rPr>
        <w:t xml:space="preserve"> que </w:t>
      </w:r>
      <w:r w:rsidRPr="000D1D72">
        <w:rPr>
          <w:rFonts w:ascii="Arial" w:hAnsi="Arial" w:cs="Arial"/>
          <w:sz w:val="24"/>
          <w:szCs w:val="24"/>
        </w:rPr>
        <w:t>dice: “Hay una necesidad de mejorar la respuesta de instituciones clave de todos los sectores frente a la violencia contra la mujer. Las mujeres que sufren violencia en América Latina y el Caribe no siempre buscan ayuda, a menudo porque no saben dónde ir</w:t>
      </w:r>
      <w:r w:rsidR="000466FC">
        <w:rPr>
          <w:rFonts w:ascii="Arial" w:hAnsi="Arial" w:cs="Arial"/>
          <w:sz w:val="24"/>
          <w:szCs w:val="24"/>
        </w:rPr>
        <w:t>,</w:t>
      </w:r>
      <w:r w:rsidRPr="000D1D72">
        <w:rPr>
          <w:rFonts w:ascii="Arial" w:hAnsi="Arial" w:cs="Arial"/>
          <w:sz w:val="24"/>
          <w:szCs w:val="24"/>
        </w:rPr>
        <w:t xml:space="preserve"> o no confían en que recibirán una ayuda eficaz, compasiva y confidencial…” “... </w:t>
      </w:r>
      <w:r w:rsidRPr="000D1D72">
        <w:rPr>
          <w:rFonts w:ascii="Arial" w:hAnsi="Arial" w:cs="Arial"/>
          <w:i/>
          <w:iCs/>
          <w:sz w:val="24"/>
          <w:szCs w:val="24"/>
        </w:rPr>
        <w:t xml:space="preserve">Los tomadores </w:t>
      </w:r>
      <w:r w:rsidRPr="000D1D72">
        <w:rPr>
          <w:rFonts w:ascii="Arial" w:hAnsi="Arial" w:cs="Arial"/>
          <w:i/>
          <w:iCs/>
          <w:sz w:val="24"/>
          <w:szCs w:val="24"/>
        </w:rPr>
        <w:lastRenderedPageBreak/>
        <w:t>de decisiones y los responsables por políticas y programas deben abordar las normas y actitudes que en la región respaldan las inequidades de género y consideran la violencia contra la mujer como asunto “privado”. Esas normas siguen generalizadas en muchas partes de la Región y pueden desanimar a las mujeres de solicitar ayuda o desalentar a los miembros de la familia y la comunidad de ayudar a las mujeres que sufren malos tratos o abuso. Cambiar estas normas y actitudes pueden contribuir a la prevención  y a la respuesta frente a la violencia contra la mujer, así como a promover más ampliamente la igualdad de género…”.-</w:t>
      </w:r>
    </w:p>
    <w:p w:rsidR="00D12413" w:rsidRDefault="00D12413" w:rsidP="000D1D72">
      <w:pPr>
        <w:tabs>
          <w:tab w:val="left" w:pos="1701"/>
        </w:tabs>
        <w:spacing w:line="480" w:lineRule="auto"/>
        <w:jc w:val="both"/>
        <w:rPr>
          <w:rFonts w:ascii="Arial" w:hAnsi="Arial" w:cs="Arial"/>
          <w:i/>
          <w:iCs/>
          <w:sz w:val="24"/>
          <w:szCs w:val="24"/>
        </w:rPr>
      </w:pPr>
    </w:p>
    <w:p w:rsidR="00D12413" w:rsidRDefault="00D12413" w:rsidP="00D12413">
      <w:pPr>
        <w:tabs>
          <w:tab w:val="left" w:pos="1701"/>
        </w:tabs>
        <w:spacing w:line="480" w:lineRule="auto"/>
        <w:jc w:val="center"/>
        <w:rPr>
          <w:rFonts w:ascii="Arial" w:hAnsi="Arial" w:cs="Arial"/>
          <w:i/>
          <w:iCs/>
          <w:sz w:val="24"/>
          <w:szCs w:val="24"/>
        </w:rPr>
      </w:pPr>
      <w:r>
        <w:rPr>
          <w:rFonts w:ascii="Arial" w:hAnsi="Arial" w:cs="Arial"/>
          <w:i/>
          <w:iCs/>
          <w:sz w:val="24"/>
          <w:szCs w:val="24"/>
        </w:rPr>
        <w:t>ACILIA</w:t>
      </w:r>
    </w:p>
    <w:p w:rsidR="004D64C3" w:rsidRDefault="004D64C3" w:rsidP="000D1D72">
      <w:pPr>
        <w:tabs>
          <w:tab w:val="left" w:pos="1701"/>
        </w:tabs>
        <w:spacing w:line="480" w:lineRule="auto"/>
        <w:jc w:val="both"/>
        <w:rPr>
          <w:rFonts w:ascii="Arial" w:hAnsi="Arial" w:cs="Arial"/>
          <w:i/>
          <w:iCs/>
          <w:sz w:val="24"/>
          <w:szCs w:val="24"/>
        </w:rPr>
      </w:pPr>
    </w:p>
    <w:p w:rsidR="004D64C3" w:rsidRDefault="004D64C3" w:rsidP="000D1D72">
      <w:pPr>
        <w:tabs>
          <w:tab w:val="left" w:pos="1701"/>
        </w:tabs>
        <w:spacing w:line="480" w:lineRule="auto"/>
        <w:jc w:val="both"/>
        <w:rPr>
          <w:rFonts w:ascii="Arial" w:hAnsi="Arial" w:cs="Arial"/>
          <w:i/>
          <w:iCs/>
          <w:sz w:val="24"/>
          <w:szCs w:val="24"/>
        </w:rPr>
      </w:pPr>
      <w:r>
        <w:rPr>
          <w:rFonts w:ascii="Arial" w:hAnsi="Arial" w:cs="Arial"/>
          <w:i/>
          <w:iCs/>
          <w:sz w:val="24"/>
          <w:szCs w:val="24"/>
        </w:rPr>
        <w:t>BIBLIOGRAFIA</w:t>
      </w:r>
    </w:p>
    <w:p w:rsidR="00512B61" w:rsidRDefault="00512B61" w:rsidP="000D1D72">
      <w:pPr>
        <w:tabs>
          <w:tab w:val="left" w:pos="1701"/>
        </w:tabs>
        <w:spacing w:line="480" w:lineRule="auto"/>
        <w:jc w:val="both"/>
        <w:rPr>
          <w:rFonts w:ascii="Arial" w:hAnsi="Arial" w:cs="Arial"/>
          <w:iCs/>
          <w:sz w:val="24"/>
          <w:szCs w:val="24"/>
        </w:rPr>
      </w:pPr>
      <w:r>
        <w:rPr>
          <w:rFonts w:ascii="Arial" w:hAnsi="Arial" w:cs="Arial"/>
          <w:iCs/>
          <w:sz w:val="24"/>
          <w:szCs w:val="24"/>
        </w:rPr>
        <w:t>Cassagne, Juan Carlos. Derecho Administrativo. Abeledo Perrot. 9°Ed.</w:t>
      </w:r>
    </w:p>
    <w:p w:rsidR="00512B61" w:rsidRDefault="00512B61" w:rsidP="000D1D72">
      <w:pPr>
        <w:tabs>
          <w:tab w:val="left" w:pos="1701"/>
        </w:tabs>
        <w:spacing w:line="480" w:lineRule="auto"/>
        <w:jc w:val="both"/>
        <w:rPr>
          <w:rFonts w:ascii="Arial" w:hAnsi="Arial" w:cs="Arial"/>
          <w:iCs/>
          <w:sz w:val="24"/>
          <w:szCs w:val="24"/>
        </w:rPr>
      </w:pPr>
      <w:r>
        <w:rPr>
          <w:rFonts w:ascii="Arial" w:hAnsi="Arial" w:cs="Arial"/>
          <w:iCs/>
          <w:sz w:val="24"/>
          <w:szCs w:val="24"/>
        </w:rPr>
        <w:t>García de Entrerría, Eduardo. La lucha contra las inmunidades del poder. Cuaderno Civitas.</w:t>
      </w:r>
      <w:r w:rsidR="000F46B4">
        <w:rPr>
          <w:rFonts w:ascii="Arial" w:hAnsi="Arial" w:cs="Arial"/>
          <w:iCs/>
          <w:sz w:val="24"/>
          <w:szCs w:val="24"/>
        </w:rPr>
        <w:t>3° ed. reimpresa</w:t>
      </w:r>
    </w:p>
    <w:p w:rsidR="00512B61" w:rsidRDefault="00512B61" w:rsidP="000D1D72">
      <w:pPr>
        <w:tabs>
          <w:tab w:val="left" w:pos="1701"/>
        </w:tabs>
        <w:spacing w:line="480" w:lineRule="auto"/>
        <w:jc w:val="both"/>
        <w:rPr>
          <w:rFonts w:ascii="Arial" w:hAnsi="Arial" w:cs="Arial"/>
          <w:iCs/>
          <w:sz w:val="24"/>
          <w:szCs w:val="24"/>
        </w:rPr>
      </w:pPr>
      <w:r>
        <w:rPr>
          <w:rFonts w:ascii="Arial" w:hAnsi="Arial" w:cs="Arial"/>
          <w:iCs/>
          <w:sz w:val="24"/>
          <w:szCs w:val="24"/>
        </w:rPr>
        <w:t>García de Entrerría y Fernández, Tomás Ramón. Curso de Derecho Administrativo, con notas de Agustín Gordillo. Thomson-Civitas-La Ley. 1° ed. Argentina.</w:t>
      </w:r>
    </w:p>
    <w:p w:rsidR="00512B61" w:rsidRDefault="00512B61" w:rsidP="00512B61">
      <w:pPr>
        <w:tabs>
          <w:tab w:val="left" w:pos="1701"/>
        </w:tabs>
        <w:spacing w:line="480" w:lineRule="auto"/>
        <w:jc w:val="both"/>
        <w:rPr>
          <w:rFonts w:ascii="Arial" w:hAnsi="Arial" w:cs="Arial"/>
          <w:iCs/>
          <w:sz w:val="24"/>
          <w:szCs w:val="24"/>
        </w:rPr>
      </w:pPr>
      <w:r>
        <w:rPr>
          <w:rFonts w:ascii="Arial" w:hAnsi="Arial" w:cs="Arial"/>
          <w:iCs/>
          <w:sz w:val="24"/>
          <w:szCs w:val="24"/>
        </w:rPr>
        <w:t>Gelli, María Angélica. Constitución de la Nación Argentina. Comentada y concordada. Ed. La Ley . 4° Ed.</w:t>
      </w:r>
    </w:p>
    <w:p w:rsidR="000F46B4" w:rsidRDefault="000F46B4" w:rsidP="00512B61">
      <w:pPr>
        <w:tabs>
          <w:tab w:val="left" w:pos="1701"/>
        </w:tabs>
        <w:spacing w:line="480" w:lineRule="auto"/>
        <w:jc w:val="both"/>
        <w:rPr>
          <w:rFonts w:ascii="Arial" w:hAnsi="Arial" w:cs="Arial"/>
          <w:iCs/>
          <w:sz w:val="24"/>
          <w:szCs w:val="24"/>
        </w:rPr>
      </w:pPr>
      <w:r>
        <w:rPr>
          <w:rFonts w:ascii="Arial" w:hAnsi="Arial" w:cs="Arial"/>
          <w:iCs/>
          <w:sz w:val="24"/>
          <w:szCs w:val="24"/>
        </w:rPr>
        <w:t>Linares, Juan Francisco. Caso Administrativo No Previsto. Ed. Astrea. 1976</w:t>
      </w:r>
    </w:p>
    <w:p w:rsidR="000F46B4" w:rsidRDefault="000F46B4" w:rsidP="00512B61">
      <w:pPr>
        <w:tabs>
          <w:tab w:val="left" w:pos="1701"/>
        </w:tabs>
        <w:spacing w:line="480" w:lineRule="auto"/>
        <w:jc w:val="both"/>
        <w:rPr>
          <w:rFonts w:ascii="Arial" w:hAnsi="Arial" w:cs="Arial"/>
          <w:iCs/>
          <w:sz w:val="24"/>
          <w:szCs w:val="24"/>
        </w:rPr>
      </w:pPr>
      <w:r>
        <w:rPr>
          <w:rFonts w:ascii="Arial" w:hAnsi="Arial" w:cs="Arial"/>
          <w:iCs/>
          <w:sz w:val="24"/>
          <w:szCs w:val="24"/>
        </w:rPr>
        <w:lastRenderedPageBreak/>
        <w:t>Reiriz, María Graciela. Responsabilidad del Estado. La autonomía del Derecho Administrativo y sus instituciones jurídicas.</w:t>
      </w:r>
    </w:p>
    <w:p w:rsidR="00E954D7" w:rsidRDefault="00E954D7" w:rsidP="00512B61">
      <w:pPr>
        <w:tabs>
          <w:tab w:val="left" w:pos="1701"/>
        </w:tabs>
        <w:spacing w:line="480" w:lineRule="auto"/>
        <w:jc w:val="both"/>
        <w:rPr>
          <w:rFonts w:ascii="Arial" w:hAnsi="Arial" w:cs="Arial"/>
          <w:iCs/>
          <w:sz w:val="24"/>
          <w:szCs w:val="24"/>
        </w:rPr>
      </w:pPr>
    </w:p>
    <w:p w:rsidR="001C0F20" w:rsidRPr="001C0F20" w:rsidRDefault="001C0F20" w:rsidP="00512B61">
      <w:pPr>
        <w:tabs>
          <w:tab w:val="left" w:pos="1701"/>
        </w:tabs>
        <w:spacing w:line="480" w:lineRule="auto"/>
        <w:jc w:val="both"/>
        <w:rPr>
          <w:rFonts w:ascii="Arial" w:hAnsi="Arial" w:cs="Arial"/>
          <w:iCs/>
          <w:sz w:val="24"/>
          <w:szCs w:val="24"/>
        </w:rPr>
      </w:pPr>
      <w:r w:rsidRPr="001C0F20">
        <w:rPr>
          <w:rFonts w:ascii="Arial" w:hAnsi="Arial" w:cs="Arial"/>
          <w:sz w:val="24"/>
          <w:szCs w:val="24"/>
        </w:rPr>
        <w:t xml:space="preserve">Reiriz, </w:t>
      </w:r>
      <w:r w:rsidRPr="001C0F20">
        <w:rPr>
          <w:rFonts w:ascii="Arial" w:eastAsia="Times New Roman" w:hAnsi="Arial" w:cs="Arial"/>
          <w:color w:val="000000"/>
          <w:sz w:val="24"/>
          <w:szCs w:val="24"/>
          <w:lang w:eastAsia="es-AR"/>
        </w:rPr>
        <w:t>María Graciela. El Derecho Administrativo Argentino Hoy.</w:t>
      </w:r>
    </w:p>
    <w:p w:rsidR="000F46B4" w:rsidRDefault="000F46B4" w:rsidP="000F46B4">
      <w:pPr>
        <w:tabs>
          <w:tab w:val="left" w:pos="1701"/>
        </w:tabs>
        <w:spacing w:line="480" w:lineRule="auto"/>
        <w:jc w:val="both"/>
        <w:rPr>
          <w:rFonts w:ascii="Arial" w:hAnsi="Arial" w:cs="Arial"/>
          <w:i/>
          <w:iCs/>
          <w:sz w:val="24"/>
          <w:szCs w:val="24"/>
        </w:rPr>
      </w:pPr>
      <w:r>
        <w:rPr>
          <w:rFonts w:ascii="Arial" w:hAnsi="Arial" w:cs="Arial"/>
          <w:i/>
          <w:iCs/>
          <w:sz w:val="24"/>
          <w:szCs w:val="24"/>
        </w:rPr>
        <w:t xml:space="preserve">Rosatti, Horacio, Barra, Rodolfo, García Lema, Alberto, Masnatta, Enrique, Quiroga Lavié, Humberto. La Reforma de la Constitución. Ed. Rubinzal Culzoni. </w:t>
      </w:r>
    </w:p>
    <w:p w:rsidR="0097636F" w:rsidRDefault="0097636F" w:rsidP="000F46B4">
      <w:pPr>
        <w:tabs>
          <w:tab w:val="left" w:pos="1701"/>
        </w:tabs>
        <w:spacing w:line="480" w:lineRule="auto"/>
        <w:jc w:val="both"/>
        <w:rPr>
          <w:rFonts w:ascii="Arial" w:hAnsi="Arial" w:cs="Arial"/>
          <w:i/>
          <w:iCs/>
          <w:sz w:val="24"/>
          <w:szCs w:val="24"/>
        </w:rPr>
      </w:pPr>
    </w:p>
    <w:p w:rsidR="0097636F" w:rsidRDefault="0097636F" w:rsidP="000F46B4">
      <w:pPr>
        <w:tabs>
          <w:tab w:val="left" w:pos="1701"/>
        </w:tabs>
        <w:spacing w:line="480" w:lineRule="auto"/>
        <w:jc w:val="both"/>
        <w:rPr>
          <w:rFonts w:ascii="Arial" w:hAnsi="Arial" w:cs="Arial"/>
          <w:b/>
          <w:i/>
          <w:iCs/>
          <w:sz w:val="24"/>
          <w:szCs w:val="24"/>
        </w:rPr>
      </w:pPr>
      <w:r>
        <w:rPr>
          <w:rFonts w:ascii="Arial" w:hAnsi="Arial" w:cs="Arial"/>
          <w:b/>
          <w:i/>
          <w:iCs/>
          <w:sz w:val="24"/>
          <w:szCs w:val="24"/>
        </w:rPr>
        <w:t>JURISPRUDENCIA</w:t>
      </w:r>
    </w:p>
    <w:p w:rsidR="0097636F" w:rsidRDefault="0097636F" w:rsidP="0097636F">
      <w:pPr>
        <w:tabs>
          <w:tab w:val="left" w:pos="1701"/>
        </w:tabs>
        <w:spacing w:line="480" w:lineRule="auto"/>
        <w:jc w:val="both"/>
        <w:rPr>
          <w:rFonts w:ascii="Arial" w:hAnsi="Arial" w:cs="Arial"/>
          <w:sz w:val="24"/>
          <w:szCs w:val="24"/>
        </w:rPr>
      </w:pPr>
      <w:r>
        <w:rPr>
          <w:rFonts w:ascii="Arial" w:hAnsi="Arial" w:cs="Arial"/>
          <w:sz w:val="24"/>
          <w:szCs w:val="24"/>
        </w:rPr>
        <w:t>C</w:t>
      </w:r>
      <w:r w:rsidRPr="009160C5">
        <w:rPr>
          <w:rFonts w:ascii="Arial" w:hAnsi="Arial" w:cs="Arial"/>
          <w:sz w:val="24"/>
          <w:szCs w:val="24"/>
        </w:rPr>
        <w:t>S</w:t>
      </w:r>
      <w:r>
        <w:rPr>
          <w:rFonts w:ascii="Arial" w:hAnsi="Arial" w:cs="Arial"/>
          <w:sz w:val="24"/>
          <w:szCs w:val="24"/>
        </w:rPr>
        <w:t>J</w:t>
      </w:r>
      <w:r w:rsidRPr="009160C5">
        <w:rPr>
          <w:rFonts w:ascii="Arial" w:hAnsi="Arial" w:cs="Arial"/>
          <w:sz w:val="24"/>
          <w:szCs w:val="24"/>
        </w:rPr>
        <w:t>N</w:t>
      </w:r>
      <w:r>
        <w:rPr>
          <w:rFonts w:ascii="Arial" w:hAnsi="Arial" w:cs="Arial"/>
          <w:sz w:val="24"/>
          <w:szCs w:val="24"/>
        </w:rPr>
        <w:t>.</w:t>
      </w:r>
      <w:r w:rsidRPr="009160C5">
        <w:rPr>
          <w:rFonts w:ascii="Arial" w:hAnsi="Arial" w:cs="Arial"/>
          <w:sz w:val="24"/>
          <w:szCs w:val="24"/>
        </w:rPr>
        <w:t xml:space="preserve"> Ekmekdjian</w:t>
      </w:r>
      <w:r>
        <w:rPr>
          <w:rFonts w:ascii="Arial" w:hAnsi="Arial" w:cs="Arial"/>
          <w:sz w:val="24"/>
          <w:szCs w:val="24"/>
        </w:rPr>
        <w:t xml:space="preserve"> </w:t>
      </w:r>
      <w:r w:rsidRPr="009160C5">
        <w:rPr>
          <w:rFonts w:ascii="Arial" w:hAnsi="Arial" w:cs="Arial"/>
          <w:sz w:val="24"/>
          <w:szCs w:val="24"/>
        </w:rPr>
        <w:t>c/ Sofovich</w:t>
      </w:r>
      <w:r>
        <w:rPr>
          <w:rFonts w:ascii="Arial" w:hAnsi="Arial" w:cs="Arial"/>
          <w:sz w:val="24"/>
          <w:szCs w:val="24"/>
        </w:rPr>
        <w:t>. Fallos: 315:1492</w:t>
      </w:r>
    </w:p>
    <w:p w:rsidR="0097636F" w:rsidRDefault="0097636F" w:rsidP="0097636F">
      <w:pPr>
        <w:pStyle w:val="Textonotapie"/>
        <w:spacing w:line="480" w:lineRule="auto"/>
        <w:rPr>
          <w:rFonts w:ascii="Arial" w:hAnsi="Arial" w:cs="Arial"/>
          <w:sz w:val="24"/>
          <w:szCs w:val="24"/>
        </w:rPr>
      </w:pPr>
      <w:r w:rsidRPr="0097636F">
        <w:rPr>
          <w:rFonts w:ascii="Arial" w:hAnsi="Arial" w:cs="Arial"/>
          <w:sz w:val="24"/>
          <w:szCs w:val="24"/>
        </w:rPr>
        <w:t>CSJN. Z</w:t>
      </w:r>
      <w:r>
        <w:rPr>
          <w:rFonts w:ascii="Arial" w:hAnsi="Arial" w:cs="Arial"/>
          <w:sz w:val="24"/>
          <w:szCs w:val="24"/>
        </w:rPr>
        <w:t>acarías v. Có</w:t>
      </w:r>
      <w:r w:rsidRPr="0097636F">
        <w:rPr>
          <w:rFonts w:ascii="Arial" w:hAnsi="Arial" w:cs="Arial"/>
          <w:sz w:val="24"/>
          <w:szCs w:val="24"/>
        </w:rPr>
        <w:t>rdoba</w:t>
      </w:r>
      <w:r>
        <w:rPr>
          <w:rFonts w:ascii="Arial" w:hAnsi="Arial" w:cs="Arial"/>
          <w:sz w:val="24"/>
          <w:szCs w:val="24"/>
        </w:rPr>
        <w:t>.</w:t>
      </w:r>
      <w:r w:rsidRPr="0097636F">
        <w:rPr>
          <w:rFonts w:ascii="Arial" w:hAnsi="Arial" w:cs="Arial"/>
          <w:sz w:val="24"/>
          <w:szCs w:val="24"/>
        </w:rPr>
        <w:t xml:space="preserve"> Fallos 321:1124</w:t>
      </w:r>
    </w:p>
    <w:p w:rsidR="0097636F" w:rsidRDefault="0097636F" w:rsidP="0097636F">
      <w:pPr>
        <w:pStyle w:val="Textonotapie"/>
        <w:spacing w:line="480" w:lineRule="auto"/>
        <w:rPr>
          <w:rFonts w:ascii="Arial" w:hAnsi="Arial" w:cs="Arial"/>
          <w:sz w:val="24"/>
          <w:szCs w:val="24"/>
        </w:rPr>
      </w:pPr>
    </w:p>
    <w:p w:rsidR="0097636F" w:rsidRDefault="0097636F" w:rsidP="0097636F">
      <w:pPr>
        <w:pStyle w:val="Textonotapie"/>
        <w:spacing w:line="480" w:lineRule="auto"/>
        <w:rPr>
          <w:rFonts w:ascii="Arial" w:hAnsi="Arial" w:cs="Arial"/>
          <w:sz w:val="24"/>
          <w:szCs w:val="24"/>
        </w:rPr>
      </w:pPr>
      <w:r w:rsidRPr="0097636F">
        <w:rPr>
          <w:rFonts w:ascii="Arial" w:hAnsi="Arial" w:cs="Arial"/>
          <w:sz w:val="24"/>
          <w:szCs w:val="24"/>
        </w:rPr>
        <w:t>CSJN.</w:t>
      </w:r>
      <w:r>
        <w:rPr>
          <w:rFonts w:ascii="Arial" w:hAnsi="Arial" w:cs="Arial"/>
          <w:sz w:val="24"/>
          <w:szCs w:val="24"/>
        </w:rPr>
        <w:t xml:space="preserve"> </w:t>
      </w:r>
      <w:r w:rsidRPr="0097636F">
        <w:rPr>
          <w:rFonts w:ascii="Arial" w:hAnsi="Arial" w:cs="Arial"/>
          <w:sz w:val="24"/>
          <w:szCs w:val="24"/>
        </w:rPr>
        <w:t>Mosca, Hugo c/ Buenos Aires Provincia. M 82 XXXV. 6-3-07.</w:t>
      </w:r>
    </w:p>
    <w:p w:rsidR="00915B89" w:rsidRDefault="00915B89" w:rsidP="00915B89">
      <w:pPr>
        <w:tabs>
          <w:tab w:val="left" w:pos="1701"/>
        </w:tabs>
        <w:spacing w:line="480" w:lineRule="auto"/>
        <w:jc w:val="both"/>
        <w:rPr>
          <w:rFonts w:ascii="Arial" w:hAnsi="Arial" w:cs="Arial"/>
          <w:sz w:val="24"/>
          <w:szCs w:val="24"/>
        </w:rPr>
      </w:pPr>
      <w:r>
        <w:rPr>
          <w:rFonts w:ascii="Arial" w:hAnsi="Arial" w:cs="Arial"/>
          <w:sz w:val="24"/>
          <w:szCs w:val="24"/>
        </w:rPr>
        <w:t>Q</w:t>
      </w:r>
      <w:r w:rsidRPr="00915B89">
        <w:rPr>
          <w:rFonts w:ascii="Arial" w:hAnsi="Arial" w:cs="Arial"/>
          <w:sz w:val="24"/>
          <w:szCs w:val="24"/>
        </w:rPr>
        <w:t>uiñones</w:t>
      </w:r>
      <w:r>
        <w:rPr>
          <w:rFonts w:ascii="Arial" w:hAnsi="Arial" w:cs="Arial"/>
          <w:sz w:val="24"/>
          <w:szCs w:val="24"/>
        </w:rPr>
        <w:t>, Renato Benito y otro c/ P</w:t>
      </w:r>
      <w:r w:rsidRPr="00915B89">
        <w:rPr>
          <w:rFonts w:ascii="Arial" w:hAnsi="Arial" w:cs="Arial"/>
          <w:sz w:val="24"/>
          <w:szCs w:val="24"/>
        </w:rPr>
        <w:t xml:space="preserve">rovincia de </w:t>
      </w:r>
      <w:r>
        <w:rPr>
          <w:rFonts w:ascii="Arial" w:hAnsi="Arial" w:cs="Arial"/>
          <w:sz w:val="24"/>
          <w:szCs w:val="24"/>
        </w:rPr>
        <w:t xml:space="preserve">Cordoba </w:t>
      </w:r>
      <w:r w:rsidRPr="00915B89">
        <w:rPr>
          <w:rFonts w:ascii="Arial" w:hAnsi="Arial" w:cs="Arial"/>
          <w:sz w:val="24"/>
          <w:szCs w:val="24"/>
        </w:rPr>
        <w:t>-</w:t>
      </w:r>
      <w:r>
        <w:rPr>
          <w:rFonts w:ascii="Arial" w:hAnsi="Arial" w:cs="Arial"/>
          <w:sz w:val="24"/>
          <w:szCs w:val="24"/>
        </w:rPr>
        <w:t xml:space="preserve"> </w:t>
      </w:r>
      <w:r w:rsidRPr="00915B89">
        <w:rPr>
          <w:rFonts w:ascii="Arial" w:hAnsi="Arial" w:cs="Arial"/>
          <w:sz w:val="24"/>
          <w:szCs w:val="24"/>
        </w:rPr>
        <w:t xml:space="preserve">daños y perj.- otras formas de responsabilidad extracontractual- recurso de apelación- </w:t>
      </w:r>
      <w:r>
        <w:rPr>
          <w:rFonts w:ascii="Arial" w:hAnsi="Arial" w:cs="Arial"/>
          <w:sz w:val="24"/>
          <w:szCs w:val="24"/>
        </w:rPr>
        <w:t>Expte. 200847/36.C</w:t>
      </w:r>
      <w:r w:rsidRPr="00915B89">
        <w:rPr>
          <w:rFonts w:ascii="Arial" w:hAnsi="Arial" w:cs="Arial"/>
          <w:sz w:val="24"/>
          <w:szCs w:val="24"/>
        </w:rPr>
        <w:t xml:space="preserve">ámara </w:t>
      </w:r>
      <w:r>
        <w:rPr>
          <w:rFonts w:ascii="Arial" w:hAnsi="Arial" w:cs="Arial"/>
          <w:sz w:val="24"/>
          <w:szCs w:val="24"/>
        </w:rPr>
        <w:t>5°</w:t>
      </w:r>
      <w:r w:rsidRPr="00915B89">
        <w:rPr>
          <w:rFonts w:ascii="Arial" w:hAnsi="Arial" w:cs="Arial"/>
          <w:sz w:val="24"/>
          <w:szCs w:val="24"/>
        </w:rPr>
        <w:t xml:space="preserve"> de </w:t>
      </w:r>
      <w:r>
        <w:rPr>
          <w:rFonts w:ascii="Arial" w:hAnsi="Arial" w:cs="Arial"/>
          <w:sz w:val="24"/>
          <w:szCs w:val="24"/>
        </w:rPr>
        <w:t>A</w:t>
      </w:r>
      <w:r w:rsidRPr="00915B89">
        <w:rPr>
          <w:rFonts w:ascii="Arial" w:hAnsi="Arial" w:cs="Arial"/>
          <w:sz w:val="24"/>
          <w:szCs w:val="24"/>
        </w:rPr>
        <w:t xml:space="preserve">pelaciones en lo </w:t>
      </w:r>
      <w:r>
        <w:rPr>
          <w:rFonts w:ascii="Arial" w:hAnsi="Arial" w:cs="Arial"/>
          <w:sz w:val="24"/>
          <w:szCs w:val="24"/>
        </w:rPr>
        <w:t>C</w:t>
      </w:r>
      <w:r w:rsidRPr="00915B89">
        <w:rPr>
          <w:rFonts w:ascii="Arial" w:hAnsi="Arial" w:cs="Arial"/>
          <w:sz w:val="24"/>
          <w:szCs w:val="24"/>
        </w:rPr>
        <w:t xml:space="preserve">ivil y </w:t>
      </w:r>
      <w:r>
        <w:rPr>
          <w:rFonts w:ascii="Arial" w:hAnsi="Arial" w:cs="Arial"/>
          <w:sz w:val="24"/>
          <w:szCs w:val="24"/>
        </w:rPr>
        <w:t>C</w:t>
      </w:r>
      <w:r w:rsidRPr="00915B89">
        <w:rPr>
          <w:rFonts w:ascii="Arial" w:hAnsi="Arial" w:cs="Arial"/>
          <w:sz w:val="24"/>
          <w:szCs w:val="24"/>
        </w:rPr>
        <w:t>omercial</w:t>
      </w:r>
      <w:r>
        <w:rPr>
          <w:rFonts w:ascii="Arial" w:hAnsi="Arial" w:cs="Arial"/>
          <w:sz w:val="24"/>
          <w:szCs w:val="24"/>
        </w:rPr>
        <w:t xml:space="preserve"> de Córdoba.</w:t>
      </w:r>
      <w:r w:rsidRPr="00915B89">
        <w:rPr>
          <w:rFonts w:ascii="Arial" w:hAnsi="Arial" w:cs="Arial"/>
          <w:sz w:val="24"/>
          <w:szCs w:val="24"/>
        </w:rPr>
        <w:t xml:space="preserve"> julio de 2014.</w:t>
      </w:r>
    </w:p>
    <w:p w:rsidR="00915B89" w:rsidRDefault="00915B89" w:rsidP="00915B89">
      <w:pPr>
        <w:tabs>
          <w:tab w:val="left" w:pos="1701"/>
        </w:tabs>
        <w:spacing w:line="480" w:lineRule="auto"/>
        <w:jc w:val="both"/>
        <w:rPr>
          <w:rFonts w:ascii="Arial" w:hAnsi="Arial" w:cs="Arial"/>
          <w:sz w:val="24"/>
          <w:szCs w:val="24"/>
        </w:rPr>
      </w:pPr>
      <w:r w:rsidRPr="00915B89">
        <w:rPr>
          <w:rFonts w:ascii="Arial" w:hAnsi="Arial" w:cs="Arial"/>
          <w:sz w:val="24"/>
          <w:szCs w:val="24"/>
        </w:rPr>
        <w:t>Corte IDH. Caso González y otras (“Campo Algodonero”) Vs. México. Excepción Preliminar, Fondo, Reparaciones y Costas. Sentencia. Serie C No. 205.</w:t>
      </w:r>
      <w:r>
        <w:rPr>
          <w:rFonts w:ascii="Arial" w:hAnsi="Arial" w:cs="Arial"/>
          <w:sz w:val="24"/>
          <w:szCs w:val="24"/>
        </w:rPr>
        <w:t xml:space="preserve"> 16/11/2009</w:t>
      </w:r>
    </w:p>
    <w:p w:rsidR="00915B89" w:rsidRPr="00915B89" w:rsidRDefault="00915B89" w:rsidP="00915B89">
      <w:pPr>
        <w:tabs>
          <w:tab w:val="left" w:pos="1701"/>
        </w:tabs>
        <w:spacing w:line="480" w:lineRule="auto"/>
        <w:jc w:val="both"/>
        <w:rPr>
          <w:rFonts w:ascii="Arial" w:hAnsi="Arial" w:cs="Arial"/>
          <w:iCs/>
          <w:sz w:val="24"/>
          <w:szCs w:val="24"/>
        </w:rPr>
      </w:pPr>
    </w:p>
    <w:p w:rsidR="00915B89" w:rsidRDefault="00915B89" w:rsidP="0097636F">
      <w:pPr>
        <w:pStyle w:val="Textonotapie"/>
        <w:spacing w:line="480" w:lineRule="auto"/>
        <w:rPr>
          <w:rFonts w:ascii="Arial" w:hAnsi="Arial" w:cs="Arial"/>
          <w:sz w:val="24"/>
          <w:szCs w:val="24"/>
        </w:rPr>
      </w:pPr>
    </w:p>
    <w:p w:rsidR="0097636F" w:rsidRDefault="0097636F" w:rsidP="0097636F">
      <w:pPr>
        <w:pStyle w:val="Textonotapie"/>
        <w:spacing w:line="480" w:lineRule="auto"/>
        <w:rPr>
          <w:rFonts w:ascii="Arial" w:hAnsi="Arial" w:cs="Arial"/>
          <w:sz w:val="24"/>
          <w:szCs w:val="24"/>
        </w:rPr>
      </w:pPr>
    </w:p>
    <w:p w:rsidR="0097636F" w:rsidRPr="0097636F" w:rsidRDefault="0097636F" w:rsidP="0097636F">
      <w:pPr>
        <w:pStyle w:val="Textonotapie"/>
        <w:spacing w:line="480" w:lineRule="auto"/>
        <w:rPr>
          <w:rFonts w:ascii="Arial" w:hAnsi="Arial" w:cs="Arial"/>
          <w:sz w:val="24"/>
          <w:szCs w:val="24"/>
        </w:rPr>
      </w:pPr>
    </w:p>
    <w:p w:rsidR="0097636F" w:rsidRDefault="0097636F" w:rsidP="0097636F">
      <w:pPr>
        <w:pStyle w:val="Textonotapie"/>
        <w:rPr>
          <w:rFonts w:ascii="Arial" w:hAnsi="Arial" w:cs="Arial"/>
          <w:sz w:val="24"/>
          <w:szCs w:val="24"/>
        </w:rPr>
      </w:pPr>
    </w:p>
    <w:p w:rsidR="0097636F" w:rsidRDefault="0097636F" w:rsidP="0097636F">
      <w:pPr>
        <w:pStyle w:val="Textonotapie"/>
        <w:rPr>
          <w:rFonts w:ascii="Arial" w:hAnsi="Arial" w:cs="Arial"/>
          <w:sz w:val="24"/>
          <w:szCs w:val="24"/>
        </w:rPr>
      </w:pPr>
    </w:p>
    <w:p w:rsidR="0097636F" w:rsidRPr="0097636F" w:rsidRDefault="0097636F" w:rsidP="0097636F">
      <w:pPr>
        <w:pStyle w:val="Textonotapie"/>
        <w:rPr>
          <w:rFonts w:ascii="Arial" w:hAnsi="Arial" w:cs="Arial"/>
          <w:sz w:val="24"/>
          <w:szCs w:val="24"/>
        </w:rPr>
      </w:pPr>
    </w:p>
    <w:sectPr w:rsidR="0097636F" w:rsidRPr="0097636F" w:rsidSect="00DA7EEA">
      <w:footerReference w:type="default" r:id="rId7"/>
      <w:pgSz w:w="11906" w:h="16838"/>
      <w:pgMar w:top="1440" w:right="144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673" w:rsidRDefault="00A56673" w:rsidP="00EC439D">
      <w:pPr>
        <w:spacing w:after="0" w:line="240" w:lineRule="auto"/>
      </w:pPr>
      <w:r>
        <w:separator/>
      </w:r>
    </w:p>
  </w:endnote>
  <w:endnote w:type="continuationSeparator" w:id="1">
    <w:p w:rsidR="00A56673" w:rsidRDefault="00A56673" w:rsidP="00EC4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14844"/>
      <w:docPartObj>
        <w:docPartGallery w:val="Page Numbers (Bottom of Page)"/>
        <w:docPartUnique/>
      </w:docPartObj>
    </w:sdtPr>
    <w:sdtContent>
      <w:p w:rsidR="006155FF" w:rsidRDefault="00165B01">
        <w:pPr>
          <w:pStyle w:val="Piedepgina"/>
          <w:jc w:val="right"/>
        </w:pPr>
        <w:fldSimple w:instr=" PAGE   \* MERGEFORMAT ">
          <w:r w:rsidR="00E954D7">
            <w:rPr>
              <w:noProof/>
            </w:rPr>
            <w:t>18</w:t>
          </w:r>
        </w:fldSimple>
      </w:p>
    </w:sdtContent>
  </w:sdt>
  <w:p w:rsidR="006155FF" w:rsidRDefault="006155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673" w:rsidRDefault="00A56673" w:rsidP="00EC439D">
      <w:pPr>
        <w:spacing w:after="0" w:line="240" w:lineRule="auto"/>
      </w:pPr>
      <w:r>
        <w:separator/>
      </w:r>
    </w:p>
  </w:footnote>
  <w:footnote w:type="continuationSeparator" w:id="1">
    <w:p w:rsidR="00A56673" w:rsidRDefault="00A56673" w:rsidP="00EC439D">
      <w:pPr>
        <w:spacing w:after="0" w:line="240" w:lineRule="auto"/>
      </w:pPr>
      <w:r>
        <w:continuationSeparator/>
      </w:r>
    </w:p>
  </w:footnote>
  <w:footnote w:id="2">
    <w:p w:rsidR="00DB4AB3" w:rsidRDefault="00DB4AB3">
      <w:pPr>
        <w:pStyle w:val="Textonotapie"/>
      </w:pPr>
      <w:r>
        <w:rPr>
          <w:rStyle w:val="Refdenotaalpie"/>
        </w:rPr>
        <w:footnoteRef/>
      </w:r>
      <w:r w:rsidR="000466FC">
        <w:t xml:space="preserve">García de Entrerría, Eduardo. </w:t>
      </w:r>
      <w:r>
        <w:t xml:space="preserve">La Lucha contra las inmunidades del poder. Eduardo García de Entrerría. Ed. Civitas. Reimpresión 1995  </w:t>
      </w:r>
      <w:r w:rsidR="000466FC">
        <w:t>Pág.</w:t>
      </w:r>
      <w:r>
        <w:t xml:space="preserve"> 14</w:t>
      </w:r>
    </w:p>
  </w:footnote>
  <w:footnote w:id="3">
    <w:p w:rsidR="004C4EB8" w:rsidRDefault="004C4EB8" w:rsidP="003F38FD">
      <w:pPr>
        <w:pStyle w:val="Textonotapie"/>
        <w:tabs>
          <w:tab w:val="left" w:pos="1985"/>
        </w:tabs>
      </w:pPr>
      <w:r>
        <w:rPr>
          <w:rStyle w:val="Refdenotaalpie"/>
        </w:rPr>
        <w:footnoteRef/>
      </w:r>
      <w:r w:rsidR="000466FC">
        <w:t xml:space="preserve">García de Entrerría, Eduardo. </w:t>
      </w:r>
      <w:r w:rsidR="003F38FD">
        <w:t>Ob.cit</w:t>
      </w:r>
      <w:r>
        <w:t>. Pág. 15</w:t>
      </w:r>
    </w:p>
    <w:p w:rsidR="005F6A01" w:rsidRDefault="005F6A01">
      <w:pPr>
        <w:pStyle w:val="Textonotapie"/>
      </w:pPr>
    </w:p>
  </w:footnote>
  <w:footnote w:id="4">
    <w:p w:rsidR="000D7983" w:rsidRDefault="000D7983">
      <w:pPr>
        <w:pStyle w:val="Textonotapie"/>
      </w:pPr>
      <w:r>
        <w:rPr>
          <w:rStyle w:val="Refdenotaalpie"/>
        </w:rPr>
        <w:footnoteRef/>
      </w:r>
      <w:r w:rsidR="004159B6" w:rsidRPr="004159B6">
        <w:t>Cassagne</w:t>
      </w:r>
      <w:r w:rsidR="004159B6">
        <w:t>, Juan Carlos.</w:t>
      </w:r>
      <w:r>
        <w:t>Derecho Administrativo. Tomo I. Juan Carlos Cassagne. 9° ed.</w:t>
      </w:r>
      <w:r w:rsidR="00A61B99">
        <w:t>Pág. 111</w:t>
      </w:r>
      <w:r w:rsidR="003F38FD">
        <w:t>.</w:t>
      </w:r>
    </w:p>
  </w:footnote>
  <w:footnote w:id="5">
    <w:p w:rsidR="00915575" w:rsidRPr="00915575" w:rsidRDefault="00915575" w:rsidP="00915575">
      <w:pPr>
        <w:spacing w:after="0" w:line="240" w:lineRule="auto"/>
        <w:jc w:val="both"/>
        <w:rPr>
          <w:rFonts w:ascii="Helvetica" w:eastAsia="Times New Roman" w:hAnsi="Helvetica" w:cs="Helvetica"/>
          <w:color w:val="000000"/>
          <w:sz w:val="18"/>
          <w:szCs w:val="18"/>
          <w:lang w:eastAsia="es-AR"/>
        </w:rPr>
      </w:pPr>
      <w:r>
        <w:rPr>
          <w:rStyle w:val="Refdenotaalpie"/>
        </w:rPr>
        <w:footnoteRef/>
      </w:r>
      <w:r w:rsidR="00635591" w:rsidRPr="00635591">
        <w:t>Cossio</w:t>
      </w:r>
      <w:r w:rsidR="00635591">
        <w:t>:</w:t>
      </w:r>
      <w:r w:rsidRPr="00915575">
        <w:rPr>
          <w:rFonts w:ascii="Helvetica" w:eastAsia="Times New Roman" w:hAnsi="Helvetica" w:cs="Helvetica"/>
          <w:color w:val="000000"/>
          <w:sz w:val="18"/>
          <w:szCs w:val="18"/>
          <w:lang w:eastAsia="es-AR"/>
        </w:rPr>
        <w:t>“</w:t>
      </w:r>
      <w:r w:rsidR="00635591">
        <w:rPr>
          <w:rFonts w:ascii="Helvetica" w:eastAsia="Times New Roman" w:hAnsi="Helvetica" w:cs="Helvetica"/>
          <w:color w:val="000000"/>
          <w:sz w:val="18"/>
          <w:szCs w:val="18"/>
          <w:lang w:eastAsia="es-AR"/>
        </w:rPr>
        <w:t>plenitud hermética del Derecho”</w:t>
      </w:r>
      <w:r w:rsidRPr="00915575">
        <w:rPr>
          <w:rFonts w:ascii="Helvetica" w:eastAsia="Times New Roman" w:hAnsi="Helvetica" w:cs="Helvetica"/>
          <w:color w:val="000000"/>
          <w:sz w:val="18"/>
          <w:szCs w:val="18"/>
          <w:lang w:eastAsia="es-AR"/>
        </w:rPr>
        <w:t>. La plenitud del ordenamiento jurídico. 2ª ed. Bs.As. Losada, 1947 pp.139, 154. (Cita</w:t>
      </w:r>
      <w:r w:rsidR="00635591">
        <w:rPr>
          <w:rFonts w:ascii="Helvetica" w:eastAsia="Times New Roman" w:hAnsi="Helvetica" w:cs="Helvetica"/>
          <w:color w:val="000000"/>
          <w:sz w:val="18"/>
          <w:szCs w:val="18"/>
          <w:lang w:eastAsia="es-AR"/>
        </w:rPr>
        <w:t xml:space="preserve"> en </w:t>
      </w:r>
      <w:r w:rsidR="00635591">
        <w:t xml:space="preserve">Reiriz, </w:t>
      </w:r>
      <w:r w:rsidR="00635591">
        <w:rPr>
          <w:rFonts w:ascii="Helvetica" w:eastAsia="Times New Roman" w:hAnsi="Helvetica" w:cs="Helvetica"/>
          <w:color w:val="000000"/>
          <w:sz w:val="18"/>
          <w:szCs w:val="18"/>
          <w:lang w:eastAsia="es-AR"/>
        </w:rPr>
        <w:t xml:space="preserve">María Graciela. </w:t>
      </w:r>
      <w:r w:rsidRPr="00915575">
        <w:rPr>
          <w:rFonts w:ascii="Helvetica" w:eastAsia="Times New Roman" w:hAnsi="Helvetica" w:cs="Helvetica"/>
          <w:color w:val="000000"/>
          <w:sz w:val="18"/>
          <w:szCs w:val="18"/>
          <w:lang w:eastAsia="es-AR"/>
        </w:rPr>
        <w:t>El Derecho Administrativo Argentino Hoy. Pág.221)</w:t>
      </w:r>
    </w:p>
    <w:p w:rsidR="00915575" w:rsidRDefault="00915575">
      <w:pPr>
        <w:pStyle w:val="Textonotapie"/>
      </w:pPr>
    </w:p>
  </w:footnote>
  <w:footnote w:id="6">
    <w:p w:rsidR="00C13475" w:rsidRDefault="00C13475">
      <w:pPr>
        <w:pStyle w:val="Textonotapie"/>
      </w:pPr>
      <w:r>
        <w:rPr>
          <w:rStyle w:val="Refdenotaalpie"/>
        </w:rPr>
        <w:footnoteRef/>
      </w:r>
      <w:r>
        <w:t xml:space="preserve"> CSJN. FALLOS 315:1492. 1992</w:t>
      </w:r>
    </w:p>
  </w:footnote>
  <w:footnote w:id="7">
    <w:p w:rsidR="00576904" w:rsidRPr="00576904" w:rsidRDefault="00576904">
      <w:pPr>
        <w:pStyle w:val="Textonotapie"/>
        <w:rPr>
          <w:lang w:val="es-ES"/>
        </w:rPr>
      </w:pPr>
      <w:r>
        <w:rPr>
          <w:rStyle w:val="Refdenotaalpie"/>
        </w:rPr>
        <w:footnoteRef/>
      </w:r>
      <w:r w:rsidR="00635591">
        <w:t>Linares, Juan Francisco</w:t>
      </w:r>
      <w:r w:rsidRPr="00576904">
        <w:t>. Caso Administrativo No previsto. Ed. Astrea. 1976.Pág. 50</w:t>
      </w:r>
    </w:p>
  </w:footnote>
  <w:footnote w:id="8">
    <w:p w:rsidR="00B5067D" w:rsidRDefault="00B5067D">
      <w:pPr>
        <w:pStyle w:val="Textonotapie"/>
      </w:pPr>
      <w:r>
        <w:rPr>
          <w:rStyle w:val="Refdenotaalpie"/>
        </w:rPr>
        <w:footnoteRef/>
      </w:r>
      <w:r w:rsidR="00635591">
        <w:t xml:space="preserve">Linares, </w:t>
      </w:r>
      <w:r>
        <w:t>Juan Francisco.</w:t>
      </w:r>
      <w:r w:rsidR="003F38FD">
        <w:t>Ob. cit</w:t>
      </w:r>
      <w:r w:rsidR="00576904">
        <w:t>. Pág. 50</w:t>
      </w:r>
      <w:r w:rsidR="00635591">
        <w:t>.</w:t>
      </w:r>
    </w:p>
  </w:footnote>
  <w:footnote w:id="9">
    <w:p w:rsidR="00790493" w:rsidRDefault="00790493">
      <w:pPr>
        <w:pStyle w:val="Textonotapie"/>
      </w:pPr>
      <w:r>
        <w:rPr>
          <w:rStyle w:val="Refdenotaalpie"/>
        </w:rPr>
        <w:footnoteRef/>
      </w:r>
      <w:r w:rsidR="00635591">
        <w:t>Linares, Juan Francisco</w:t>
      </w:r>
      <w:r w:rsidR="003F38FD">
        <w:t>. Ob. cit</w:t>
      </w:r>
      <w:bookmarkStart w:id="0" w:name="_GoBack"/>
      <w:bookmarkEnd w:id="0"/>
      <w:r>
        <w:t xml:space="preserve">. </w:t>
      </w:r>
      <w:r w:rsidR="00635591">
        <w:t>Pág.</w:t>
      </w:r>
      <w:r>
        <w:t xml:space="preserve"> 66</w:t>
      </w:r>
    </w:p>
    <w:p w:rsidR="00226021" w:rsidRDefault="00226021">
      <w:pPr>
        <w:pStyle w:val="Textonotapie"/>
      </w:pPr>
    </w:p>
  </w:footnote>
  <w:footnote w:id="10">
    <w:p w:rsidR="00D14461" w:rsidRDefault="00D14461">
      <w:pPr>
        <w:pStyle w:val="Textonotapie"/>
      </w:pPr>
      <w:r>
        <w:rPr>
          <w:rStyle w:val="Refdenotaalpie"/>
        </w:rPr>
        <w:footnoteRef/>
      </w:r>
      <w:r>
        <w:t xml:space="preserve"> Preámbulo de la Convención de Belén Do Par</w:t>
      </w:r>
      <w:r w:rsidR="00635591">
        <w:t>á.</w:t>
      </w:r>
    </w:p>
  </w:footnote>
  <w:footnote w:id="11">
    <w:p w:rsidR="00192F0B" w:rsidRDefault="00192F0B">
      <w:pPr>
        <w:pStyle w:val="Textonotapie"/>
      </w:pPr>
      <w:r>
        <w:rPr>
          <w:rStyle w:val="Refdenotaalpie"/>
        </w:rPr>
        <w:footnoteRef/>
      </w:r>
      <w:r w:rsidR="00514D2C">
        <w:t xml:space="preserve"> CSJN. </w:t>
      </w:r>
      <w:r w:rsidRPr="00192F0B">
        <w:t>Fallos 321:1124: ZACARÍAS v. CORDOBA</w:t>
      </w:r>
    </w:p>
  </w:footnote>
  <w:footnote w:id="12">
    <w:p w:rsidR="00192F0B" w:rsidRDefault="00192F0B">
      <w:pPr>
        <w:pStyle w:val="Textonotapie"/>
      </w:pPr>
      <w:r>
        <w:rPr>
          <w:rStyle w:val="Refdenotaalpie"/>
        </w:rPr>
        <w:footnoteRef/>
      </w:r>
      <w:r w:rsidR="009C3DB0">
        <w:t>CSJN.</w:t>
      </w:r>
      <w:r w:rsidR="006B0376">
        <w:t xml:space="preserve">Mosca, Hugo c/ Buenos Aires Provincia. </w:t>
      </w:r>
      <w:r w:rsidR="009C3DB0">
        <w:t>M 82 XXXV. 6-3-07.</w:t>
      </w:r>
    </w:p>
  </w:footnote>
  <w:footnote w:id="13">
    <w:p w:rsidR="00EF2726" w:rsidRPr="006F217B" w:rsidRDefault="00EF2726" w:rsidP="006F217B">
      <w:pPr>
        <w:spacing w:line="240" w:lineRule="auto"/>
        <w:rPr>
          <w:rFonts w:eastAsia="Times New Roman" w:cstheme="minorHAnsi"/>
          <w:color w:val="000000"/>
          <w:sz w:val="20"/>
          <w:szCs w:val="20"/>
          <w:lang w:eastAsia="es-AR"/>
        </w:rPr>
      </w:pPr>
      <w:r>
        <w:rPr>
          <w:rStyle w:val="Refdenotaalpie"/>
        </w:rPr>
        <w:footnoteRef/>
      </w:r>
      <w:r w:rsidR="00406240" w:rsidRPr="00D14461">
        <w:rPr>
          <w:rStyle w:val="Textoennegrita"/>
          <w:rFonts w:cstheme="minorHAnsi"/>
          <w:b w:val="0"/>
          <w:color w:val="000000"/>
          <w:sz w:val="20"/>
          <w:szCs w:val="20"/>
          <w:shd w:val="clear" w:color="auto" w:fill="FFFFFF"/>
        </w:rPr>
        <w:t>Corte IDH. Caso González y otras (“Campo Algodonero”) Vs. México. Excepción Preliminar, Fondo, Reparaciones y Costas. Sentencia de 16 de noviembre de 2009. Serie C No. 205.</w:t>
      </w:r>
    </w:p>
  </w:footnote>
  <w:footnote w:id="14">
    <w:p w:rsidR="00562B12" w:rsidRPr="00562B12" w:rsidRDefault="00562B12" w:rsidP="00562B12">
      <w:pPr>
        <w:tabs>
          <w:tab w:val="left" w:pos="1701"/>
        </w:tabs>
        <w:spacing w:line="240" w:lineRule="auto"/>
        <w:jc w:val="both"/>
        <w:rPr>
          <w:rFonts w:ascii="Arial" w:hAnsi="Arial" w:cs="Arial"/>
          <w:iCs/>
          <w:sz w:val="24"/>
          <w:szCs w:val="24"/>
        </w:rPr>
      </w:pPr>
      <w:r>
        <w:rPr>
          <w:rStyle w:val="Refdenotaalpie"/>
        </w:rPr>
        <w:footnoteRef/>
      </w:r>
      <w:r w:rsidRPr="00562B12">
        <w:rPr>
          <w:rFonts w:cstheme="minorHAnsi"/>
          <w:sz w:val="20"/>
          <w:szCs w:val="20"/>
        </w:rPr>
        <w:t>"QUIÑONES”RENATO BENITO Y OTRO C/ PROVINCIA DE CORDOBA- ORDINARIO- DAÑOS Y PERJ.- OTRAS FORMAS DE RESPONSABILIDAD EXTRACONTRACTUAL- RECURSO DE APELACIÓN- EXPTE. 200847/36 ”dictado en Córdoba, por la Cámara Quinta de Apelaciones en lo Civil y Comercial en julio de 2014.</w:t>
      </w:r>
    </w:p>
    <w:p w:rsidR="00562B12" w:rsidRDefault="00562B12">
      <w:pPr>
        <w:pStyle w:val="Textonotapi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A7EEA"/>
    <w:rsid w:val="0000100C"/>
    <w:rsid w:val="00040CA0"/>
    <w:rsid w:val="000466FC"/>
    <w:rsid w:val="0008108F"/>
    <w:rsid w:val="00086FD0"/>
    <w:rsid w:val="000A538C"/>
    <w:rsid w:val="000D1D72"/>
    <w:rsid w:val="000D7983"/>
    <w:rsid w:val="000F46B4"/>
    <w:rsid w:val="00151C3E"/>
    <w:rsid w:val="0016251C"/>
    <w:rsid w:val="00165B01"/>
    <w:rsid w:val="001924E7"/>
    <w:rsid w:val="00192F0B"/>
    <w:rsid w:val="001A0320"/>
    <w:rsid w:val="001A26E3"/>
    <w:rsid w:val="001C0F20"/>
    <w:rsid w:val="001C6ABF"/>
    <w:rsid w:val="001E2A99"/>
    <w:rsid w:val="00226021"/>
    <w:rsid w:val="002B0B71"/>
    <w:rsid w:val="002B7FA5"/>
    <w:rsid w:val="0030320D"/>
    <w:rsid w:val="00315F41"/>
    <w:rsid w:val="00323238"/>
    <w:rsid w:val="003F38FD"/>
    <w:rsid w:val="00406240"/>
    <w:rsid w:val="004159B6"/>
    <w:rsid w:val="00425EDA"/>
    <w:rsid w:val="00462E76"/>
    <w:rsid w:val="00474964"/>
    <w:rsid w:val="004B2EBE"/>
    <w:rsid w:val="004C4EB8"/>
    <w:rsid w:val="004D0A44"/>
    <w:rsid w:val="004D64C3"/>
    <w:rsid w:val="0050434F"/>
    <w:rsid w:val="005061D3"/>
    <w:rsid w:val="00506576"/>
    <w:rsid w:val="0050702E"/>
    <w:rsid w:val="00512B61"/>
    <w:rsid w:val="00514D2C"/>
    <w:rsid w:val="00562B12"/>
    <w:rsid w:val="00576904"/>
    <w:rsid w:val="00592CF5"/>
    <w:rsid w:val="00594E56"/>
    <w:rsid w:val="005C43A4"/>
    <w:rsid w:val="005E015C"/>
    <w:rsid w:val="005F6A01"/>
    <w:rsid w:val="006155FF"/>
    <w:rsid w:val="00635591"/>
    <w:rsid w:val="00664378"/>
    <w:rsid w:val="00670390"/>
    <w:rsid w:val="00695713"/>
    <w:rsid w:val="006B0376"/>
    <w:rsid w:val="006C267E"/>
    <w:rsid w:val="006C57C4"/>
    <w:rsid w:val="006F217B"/>
    <w:rsid w:val="006F2485"/>
    <w:rsid w:val="00727DD9"/>
    <w:rsid w:val="007351A7"/>
    <w:rsid w:val="00770858"/>
    <w:rsid w:val="00790493"/>
    <w:rsid w:val="007B0776"/>
    <w:rsid w:val="007D0037"/>
    <w:rsid w:val="007E3B59"/>
    <w:rsid w:val="00870792"/>
    <w:rsid w:val="008803ED"/>
    <w:rsid w:val="008A0913"/>
    <w:rsid w:val="008B1E6A"/>
    <w:rsid w:val="008E0AC0"/>
    <w:rsid w:val="008F2861"/>
    <w:rsid w:val="00907D84"/>
    <w:rsid w:val="00915575"/>
    <w:rsid w:val="00915B89"/>
    <w:rsid w:val="009160C5"/>
    <w:rsid w:val="0092173D"/>
    <w:rsid w:val="00936260"/>
    <w:rsid w:val="0097636F"/>
    <w:rsid w:val="009B757F"/>
    <w:rsid w:val="009B7D7A"/>
    <w:rsid w:val="009C3DB0"/>
    <w:rsid w:val="00A12A30"/>
    <w:rsid w:val="00A3191F"/>
    <w:rsid w:val="00A4726C"/>
    <w:rsid w:val="00A531D4"/>
    <w:rsid w:val="00A56673"/>
    <w:rsid w:val="00A61B99"/>
    <w:rsid w:val="00A633DF"/>
    <w:rsid w:val="00A77B91"/>
    <w:rsid w:val="00AD3238"/>
    <w:rsid w:val="00AE31B2"/>
    <w:rsid w:val="00AE4B19"/>
    <w:rsid w:val="00B1372F"/>
    <w:rsid w:val="00B144D5"/>
    <w:rsid w:val="00B378C2"/>
    <w:rsid w:val="00B5067D"/>
    <w:rsid w:val="00BC2E39"/>
    <w:rsid w:val="00C11E91"/>
    <w:rsid w:val="00C13475"/>
    <w:rsid w:val="00C5281A"/>
    <w:rsid w:val="00C53EB7"/>
    <w:rsid w:val="00C80EAC"/>
    <w:rsid w:val="00C930A1"/>
    <w:rsid w:val="00C97815"/>
    <w:rsid w:val="00CA7FB0"/>
    <w:rsid w:val="00CB2CBB"/>
    <w:rsid w:val="00CB49FC"/>
    <w:rsid w:val="00CD673D"/>
    <w:rsid w:val="00D12413"/>
    <w:rsid w:val="00D12C91"/>
    <w:rsid w:val="00D14461"/>
    <w:rsid w:val="00D649C4"/>
    <w:rsid w:val="00D85795"/>
    <w:rsid w:val="00DA7EEA"/>
    <w:rsid w:val="00DB4AB3"/>
    <w:rsid w:val="00DF2B51"/>
    <w:rsid w:val="00E001FB"/>
    <w:rsid w:val="00E01535"/>
    <w:rsid w:val="00E141B2"/>
    <w:rsid w:val="00E42BF1"/>
    <w:rsid w:val="00E5619A"/>
    <w:rsid w:val="00E6689E"/>
    <w:rsid w:val="00E954D7"/>
    <w:rsid w:val="00EB7C8C"/>
    <w:rsid w:val="00EC439D"/>
    <w:rsid w:val="00EC6B93"/>
    <w:rsid w:val="00EF2726"/>
    <w:rsid w:val="00F169CD"/>
    <w:rsid w:val="00F234B0"/>
    <w:rsid w:val="00F5606C"/>
    <w:rsid w:val="00F667D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C43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C439D"/>
  </w:style>
  <w:style w:type="paragraph" w:styleId="Piedepgina">
    <w:name w:val="footer"/>
    <w:basedOn w:val="Normal"/>
    <w:link w:val="PiedepginaCar"/>
    <w:uiPriority w:val="99"/>
    <w:unhideWhenUsed/>
    <w:rsid w:val="00EC43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39D"/>
  </w:style>
  <w:style w:type="paragraph" w:styleId="Textodeglobo">
    <w:name w:val="Balloon Text"/>
    <w:basedOn w:val="Normal"/>
    <w:link w:val="TextodegloboCar"/>
    <w:uiPriority w:val="99"/>
    <w:semiHidden/>
    <w:unhideWhenUsed/>
    <w:rsid w:val="00EC43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39D"/>
    <w:rPr>
      <w:rFonts w:ascii="Tahoma" w:hAnsi="Tahoma" w:cs="Tahoma"/>
      <w:sz w:val="16"/>
      <w:szCs w:val="16"/>
    </w:rPr>
  </w:style>
  <w:style w:type="paragraph" w:styleId="Textonotaalfinal">
    <w:name w:val="endnote text"/>
    <w:basedOn w:val="Normal"/>
    <w:link w:val="TextonotaalfinalCar"/>
    <w:uiPriority w:val="99"/>
    <w:semiHidden/>
    <w:unhideWhenUsed/>
    <w:rsid w:val="00DB4AB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4AB3"/>
    <w:rPr>
      <w:sz w:val="20"/>
      <w:szCs w:val="20"/>
    </w:rPr>
  </w:style>
  <w:style w:type="character" w:styleId="Refdenotaalfinal">
    <w:name w:val="endnote reference"/>
    <w:basedOn w:val="Fuentedeprrafopredeter"/>
    <w:uiPriority w:val="99"/>
    <w:semiHidden/>
    <w:unhideWhenUsed/>
    <w:rsid w:val="00DB4AB3"/>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semiHidden/>
    <w:unhideWhenUsed/>
    <w:rsid w:val="00DB4AB3"/>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Ca Car"/>
    <w:basedOn w:val="Fuentedeprrafopredeter"/>
    <w:link w:val="Textonotapie"/>
    <w:uiPriority w:val="99"/>
    <w:semiHidden/>
    <w:rsid w:val="00DB4AB3"/>
    <w:rPr>
      <w:sz w:val="20"/>
      <w:szCs w:val="20"/>
    </w:rPr>
  </w:style>
  <w:style w:type="character" w:styleId="Refdenotaalpie">
    <w:name w:val="footnote reference"/>
    <w:aliases w:val="Texto de nota al pie,Appel note de bas de page,Footnotes refss,f"/>
    <w:basedOn w:val="Fuentedeprrafopredeter"/>
    <w:semiHidden/>
    <w:unhideWhenUsed/>
    <w:rsid w:val="00DB4AB3"/>
    <w:rPr>
      <w:vertAlign w:val="superscript"/>
    </w:rPr>
  </w:style>
  <w:style w:type="character" w:styleId="Refdecomentario">
    <w:name w:val="annotation reference"/>
    <w:basedOn w:val="Fuentedeprrafopredeter"/>
    <w:uiPriority w:val="99"/>
    <w:semiHidden/>
    <w:unhideWhenUsed/>
    <w:rsid w:val="00727DD9"/>
    <w:rPr>
      <w:sz w:val="16"/>
      <w:szCs w:val="16"/>
    </w:rPr>
  </w:style>
  <w:style w:type="paragraph" w:styleId="Textocomentario">
    <w:name w:val="annotation text"/>
    <w:basedOn w:val="Normal"/>
    <w:link w:val="TextocomentarioCar"/>
    <w:uiPriority w:val="99"/>
    <w:semiHidden/>
    <w:unhideWhenUsed/>
    <w:rsid w:val="00727D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7DD9"/>
    <w:rPr>
      <w:sz w:val="20"/>
      <w:szCs w:val="20"/>
    </w:rPr>
  </w:style>
  <w:style w:type="paragraph" w:styleId="Asuntodelcomentario">
    <w:name w:val="annotation subject"/>
    <w:basedOn w:val="Textocomentario"/>
    <w:next w:val="Textocomentario"/>
    <w:link w:val="AsuntodelcomentarioCar"/>
    <w:uiPriority w:val="99"/>
    <w:semiHidden/>
    <w:unhideWhenUsed/>
    <w:rsid w:val="00727DD9"/>
    <w:rPr>
      <w:b/>
      <w:bCs/>
    </w:rPr>
  </w:style>
  <w:style w:type="character" w:customStyle="1" w:styleId="AsuntodelcomentarioCar">
    <w:name w:val="Asunto del comentario Car"/>
    <w:basedOn w:val="TextocomentarioCar"/>
    <w:link w:val="Asuntodelcomentario"/>
    <w:uiPriority w:val="99"/>
    <w:semiHidden/>
    <w:rsid w:val="00727DD9"/>
    <w:rPr>
      <w:b/>
      <w:bCs/>
      <w:sz w:val="20"/>
      <w:szCs w:val="20"/>
    </w:rPr>
  </w:style>
  <w:style w:type="paragraph" w:styleId="Prrafodelista">
    <w:name w:val="List Paragraph"/>
    <w:basedOn w:val="Normal"/>
    <w:uiPriority w:val="34"/>
    <w:qFormat/>
    <w:rsid w:val="005C43A4"/>
    <w:pPr>
      <w:ind w:left="720"/>
      <w:contextualSpacing/>
    </w:pPr>
  </w:style>
  <w:style w:type="character" w:styleId="Textoennegrita">
    <w:name w:val="Strong"/>
    <w:basedOn w:val="Fuentedeprrafopredeter"/>
    <w:uiPriority w:val="22"/>
    <w:qFormat/>
    <w:rsid w:val="00EF2726"/>
    <w:rPr>
      <w:b/>
      <w:bC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semiHidden/>
    <w:rsid w:val="00D14461"/>
    <w:rPr>
      <w:rFonts w:ascii="Verdana" w:hAnsi="Verdana" w:cs="Times"/>
      <w:sz w:val="16"/>
      <w:szCs w:val="24"/>
      <w:lang w:val="es-ES_tradnl" w:eastAsia="en-US" w:bidi="ar-SA"/>
    </w:rPr>
  </w:style>
  <w:style w:type="character" w:customStyle="1" w:styleId="apple-converted-space">
    <w:name w:val="apple-converted-space"/>
    <w:basedOn w:val="Fuentedeprrafopredeter"/>
    <w:rsid w:val="00915575"/>
  </w:style>
  <w:style w:type="paragraph" w:styleId="NormalWeb">
    <w:name w:val="Normal (Web)"/>
    <w:basedOn w:val="Normal"/>
    <w:uiPriority w:val="99"/>
    <w:semiHidden/>
    <w:unhideWhenUsed/>
    <w:rsid w:val="000D1D72"/>
    <w:rPr>
      <w:rFonts w:ascii="Times New Roman" w:hAnsi="Times New Roman" w:cs="Times New Roman"/>
      <w:sz w:val="24"/>
      <w:szCs w:val="24"/>
      <w:lang w:val="es-ES"/>
    </w:rPr>
  </w:style>
  <w:style w:type="paragraph" w:styleId="Sinespaciado">
    <w:name w:val="No Spacing"/>
    <w:uiPriority w:val="1"/>
    <w:qFormat/>
    <w:rsid w:val="004159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205816">
      <w:bodyDiv w:val="1"/>
      <w:marLeft w:val="0"/>
      <w:marRight w:val="0"/>
      <w:marTop w:val="0"/>
      <w:marBottom w:val="0"/>
      <w:divBdr>
        <w:top w:val="none" w:sz="0" w:space="0" w:color="auto"/>
        <w:left w:val="none" w:sz="0" w:space="0" w:color="auto"/>
        <w:bottom w:val="none" w:sz="0" w:space="0" w:color="auto"/>
        <w:right w:val="none" w:sz="0" w:space="0" w:color="auto"/>
      </w:divBdr>
    </w:div>
    <w:div w:id="17798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CA0C-047E-4CD6-A779-1C6C769A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3030</Words>
  <Characters>16666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Eisaguirre</dc:creator>
  <cp:lastModifiedBy>Marisa Eisaguirre</cp:lastModifiedBy>
  <cp:revision>5</cp:revision>
  <cp:lastPrinted>2017-04-11T14:37:00Z</cp:lastPrinted>
  <dcterms:created xsi:type="dcterms:W3CDTF">2017-04-10T23:34:00Z</dcterms:created>
  <dcterms:modified xsi:type="dcterms:W3CDTF">2017-04-11T16:10:00Z</dcterms:modified>
</cp:coreProperties>
</file>